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D07" w14:textId="77777777" w:rsidR="005A3398" w:rsidRPr="000C7D1F" w:rsidRDefault="005A3398" w:rsidP="00BF135C">
      <w:pPr>
        <w:spacing w:line="312" w:lineRule="auto"/>
        <w:jc w:val="both"/>
        <w:rPr>
          <w:rFonts w:ascii="Georgia" w:eastAsia="Calibri" w:hAnsi="Georgia" w:cs="Times New Roman"/>
          <w:b/>
          <w:sz w:val="22"/>
          <w:szCs w:val="22"/>
        </w:rPr>
      </w:pPr>
      <w:r w:rsidRPr="000C7D1F">
        <w:rPr>
          <w:rFonts w:ascii="Georgia" w:eastAsia="Times New Roman" w:hAnsi="Georgia"/>
          <w:noProof/>
          <w:sz w:val="22"/>
          <w:szCs w:val="22"/>
          <w:lang w:eastAsia="sl-SI"/>
        </w:rPr>
        <w:drawing>
          <wp:anchor distT="0" distB="0" distL="114300" distR="114300" simplePos="0" relativeHeight="251660288" behindDoc="0" locked="0" layoutInCell="1" allowOverlap="1" wp14:anchorId="3FC24544" wp14:editId="1AE82104">
            <wp:simplePos x="0" y="0"/>
            <wp:positionH relativeFrom="column">
              <wp:posOffset>3746500</wp:posOffset>
            </wp:positionH>
            <wp:positionV relativeFrom="paragraph">
              <wp:posOffset>45720</wp:posOffset>
            </wp:positionV>
            <wp:extent cx="1476375" cy="508374"/>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r="50812"/>
                    <a:stretch>
                      <a:fillRect/>
                    </a:stretch>
                  </pic:blipFill>
                  <pic:spPr bwMode="auto">
                    <a:xfrm>
                      <a:off x="0" y="0"/>
                      <a:ext cx="1476375" cy="508374"/>
                    </a:xfrm>
                    <a:prstGeom prst="rect">
                      <a:avLst/>
                    </a:prstGeom>
                    <a:noFill/>
                    <a:ln>
                      <a:noFill/>
                    </a:ln>
                  </pic:spPr>
                </pic:pic>
              </a:graphicData>
            </a:graphic>
          </wp:anchor>
        </w:drawing>
      </w:r>
      <w:r w:rsidRPr="000C7D1F">
        <w:rPr>
          <w:rFonts w:ascii="Georgia" w:hAnsi="Georgia" w:cs="Arial"/>
          <w:b/>
          <w:noProof/>
          <w:spacing w:val="10"/>
          <w:sz w:val="22"/>
          <w:szCs w:val="22"/>
          <w:lang w:eastAsia="sl-SI"/>
        </w:rPr>
        <w:drawing>
          <wp:anchor distT="0" distB="0" distL="114300" distR="114300" simplePos="0" relativeHeight="251659264" behindDoc="0" locked="0" layoutInCell="1" allowOverlap="1" wp14:anchorId="56475731" wp14:editId="09E8CA3F">
            <wp:simplePos x="0" y="0"/>
            <wp:positionH relativeFrom="column">
              <wp:posOffset>-1648460</wp:posOffset>
            </wp:positionH>
            <wp:positionV relativeFrom="page">
              <wp:posOffset>45085</wp:posOffset>
            </wp:positionV>
            <wp:extent cx="7553960" cy="160337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960" cy="1603375"/>
                    </a:xfrm>
                    <a:prstGeom prst="rect">
                      <a:avLst/>
                    </a:prstGeom>
                  </pic:spPr>
                </pic:pic>
              </a:graphicData>
            </a:graphic>
          </wp:anchor>
        </w:drawing>
      </w:r>
      <w:r w:rsidRPr="000C7D1F">
        <w:rPr>
          <w:rFonts w:ascii="Georgia" w:eastAsia="Calibri" w:hAnsi="Georgia" w:cs="Times New Roman"/>
          <w:b/>
          <w:sz w:val="22"/>
          <w:szCs w:val="22"/>
        </w:rPr>
        <w:t>SPOT SVETOVANJE SAVINJSKA</w:t>
      </w:r>
      <w:r w:rsidR="00D54160" w:rsidRPr="000C7D1F">
        <w:rPr>
          <w:rFonts w:ascii="Georgia" w:eastAsia="Calibri" w:hAnsi="Georgia" w:cs="Times New Roman"/>
          <w:b/>
          <w:sz w:val="22"/>
          <w:szCs w:val="22"/>
        </w:rPr>
        <w:t xml:space="preserve"> </w:t>
      </w:r>
    </w:p>
    <w:p w14:paraId="2B970C16" w14:textId="77777777" w:rsidR="005A3398" w:rsidRPr="000C7D1F" w:rsidRDefault="005A3398" w:rsidP="00BF135C">
      <w:pPr>
        <w:jc w:val="both"/>
        <w:rPr>
          <w:rFonts w:ascii="Georgia" w:hAnsi="Georgia" w:cs="Arial"/>
          <w:b/>
          <w:sz w:val="22"/>
          <w:szCs w:val="22"/>
        </w:rPr>
      </w:pPr>
    </w:p>
    <w:p w14:paraId="2332A797" w14:textId="77777777" w:rsidR="00C02F54" w:rsidRDefault="00C02F54" w:rsidP="00BF135C">
      <w:pPr>
        <w:jc w:val="both"/>
        <w:rPr>
          <w:rFonts w:ascii="Georgia" w:hAnsi="Georgia" w:cs="Arial"/>
          <w:b/>
          <w:sz w:val="22"/>
          <w:szCs w:val="22"/>
        </w:rPr>
      </w:pPr>
    </w:p>
    <w:p w14:paraId="00ECD611" w14:textId="22B31130" w:rsidR="002D1344" w:rsidRDefault="00883722" w:rsidP="00BF135C">
      <w:pPr>
        <w:jc w:val="both"/>
        <w:rPr>
          <w:rFonts w:ascii="Georgia" w:hAnsi="Georgia" w:cs="Arial"/>
          <w:b/>
          <w:sz w:val="22"/>
          <w:szCs w:val="22"/>
        </w:rPr>
      </w:pPr>
      <w:r w:rsidRPr="00883722">
        <w:rPr>
          <w:rFonts w:ascii="Georgia" w:hAnsi="Georgia" w:cs="Arial"/>
          <w:b/>
          <w:sz w:val="22"/>
          <w:szCs w:val="22"/>
        </w:rPr>
        <w:t>TRETJI PROTIKORONSKI PAKET</w:t>
      </w:r>
    </w:p>
    <w:p w14:paraId="4AA710F0" w14:textId="77777777" w:rsidR="00883722" w:rsidRDefault="00883722" w:rsidP="00BF135C">
      <w:pPr>
        <w:jc w:val="both"/>
        <w:rPr>
          <w:rFonts w:ascii="Georgia" w:hAnsi="Georgia" w:cs="Arial"/>
          <w:bCs/>
          <w:sz w:val="22"/>
          <w:szCs w:val="22"/>
        </w:rPr>
      </w:pPr>
    </w:p>
    <w:p w14:paraId="1014B473" w14:textId="56F2B7EE" w:rsidR="00883722" w:rsidRPr="00883722" w:rsidRDefault="00883722" w:rsidP="00BF135C">
      <w:pPr>
        <w:jc w:val="both"/>
        <w:rPr>
          <w:rFonts w:ascii="Georgia" w:hAnsi="Georgia" w:cs="Arial"/>
          <w:bCs/>
          <w:sz w:val="22"/>
          <w:szCs w:val="22"/>
        </w:rPr>
      </w:pPr>
      <w:r w:rsidRPr="00883722">
        <w:rPr>
          <w:rFonts w:ascii="Georgia" w:hAnsi="Georgia" w:cs="Arial"/>
          <w:bCs/>
          <w:sz w:val="22"/>
          <w:szCs w:val="22"/>
        </w:rPr>
        <w:t xml:space="preserve">Državni zbor RS je sprejel tretji </w:t>
      </w:r>
      <w:proofErr w:type="spellStart"/>
      <w:r w:rsidRPr="00883722">
        <w:rPr>
          <w:rFonts w:ascii="Georgia" w:hAnsi="Georgia" w:cs="Arial"/>
          <w:bCs/>
          <w:sz w:val="22"/>
          <w:szCs w:val="22"/>
        </w:rPr>
        <w:t>protikoronski</w:t>
      </w:r>
      <w:proofErr w:type="spellEnd"/>
      <w:r w:rsidRPr="00883722">
        <w:rPr>
          <w:rFonts w:ascii="Georgia" w:hAnsi="Georgia" w:cs="Arial"/>
          <w:bCs/>
          <w:sz w:val="22"/>
          <w:szCs w:val="22"/>
        </w:rPr>
        <w:t xml:space="preserve"> </w:t>
      </w:r>
      <w:r w:rsidR="00872852">
        <w:rPr>
          <w:rFonts w:ascii="Georgia" w:hAnsi="Georgia" w:cs="Arial"/>
          <w:bCs/>
          <w:sz w:val="22"/>
          <w:szCs w:val="22"/>
        </w:rPr>
        <w:t>Z</w:t>
      </w:r>
      <w:r w:rsidRPr="00883722">
        <w:rPr>
          <w:rFonts w:ascii="Georgia" w:hAnsi="Georgia" w:cs="Arial"/>
          <w:bCs/>
          <w:sz w:val="22"/>
          <w:szCs w:val="22"/>
        </w:rPr>
        <w:t>akon</w:t>
      </w:r>
      <w:r w:rsidR="00872852">
        <w:rPr>
          <w:rFonts w:ascii="Georgia" w:hAnsi="Georgia" w:cs="Arial"/>
          <w:bCs/>
          <w:sz w:val="22"/>
          <w:szCs w:val="22"/>
        </w:rPr>
        <w:t xml:space="preserve"> </w:t>
      </w:r>
      <w:r w:rsidR="00872852" w:rsidRPr="00883722">
        <w:rPr>
          <w:rFonts w:ascii="Georgia" w:hAnsi="Georgia" w:cs="Arial"/>
          <w:b/>
          <w:sz w:val="22"/>
          <w:szCs w:val="22"/>
        </w:rPr>
        <w:t>o interventnih ukrepih za omilitev in odpravo posledic epidemije sars-cov-2 (</w:t>
      </w:r>
      <w:proofErr w:type="spellStart"/>
      <w:r w:rsidR="00872852" w:rsidRPr="00883722">
        <w:rPr>
          <w:rFonts w:ascii="Georgia" w:hAnsi="Georgia" w:cs="Arial"/>
          <w:b/>
          <w:sz w:val="22"/>
          <w:szCs w:val="22"/>
        </w:rPr>
        <w:t>ziuoope</w:t>
      </w:r>
      <w:proofErr w:type="spellEnd"/>
      <w:r w:rsidRPr="00883722">
        <w:rPr>
          <w:rFonts w:ascii="Georgia" w:hAnsi="Georgia" w:cs="Arial"/>
          <w:b/>
          <w:sz w:val="22"/>
          <w:szCs w:val="22"/>
        </w:rPr>
        <w:t>).</w:t>
      </w:r>
      <w:r>
        <w:rPr>
          <w:rFonts w:ascii="Georgia" w:hAnsi="Georgia" w:cs="Arial"/>
          <w:bCs/>
          <w:sz w:val="22"/>
          <w:szCs w:val="22"/>
        </w:rPr>
        <w:t xml:space="preserve"> </w:t>
      </w:r>
      <w:r w:rsidRPr="00883722">
        <w:rPr>
          <w:rFonts w:ascii="Georgia" w:hAnsi="Georgia" w:cs="Arial"/>
          <w:bCs/>
          <w:sz w:val="22"/>
          <w:szCs w:val="22"/>
        </w:rPr>
        <w:t xml:space="preserve">Uporabljati </w:t>
      </w:r>
      <w:r>
        <w:rPr>
          <w:rFonts w:ascii="Georgia" w:hAnsi="Georgia" w:cs="Arial"/>
          <w:bCs/>
          <w:sz w:val="22"/>
          <w:szCs w:val="22"/>
        </w:rPr>
        <w:t>se začne</w:t>
      </w:r>
      <w:r w:rsidRPr="00883722">
        <w:rPr>
          <w:rFonts w:ascii="Georgia" w:hAnsi="Georgia" w:cs="Arial"/>
          <w:bCs/>
          <w:sz w:val="22"/>
          <w:szCs w:val="22"/>
        </w:rPr>
        <w:t xml:space="preserve"> s 1. junijem, ne glede na datum objave.</w:t>
      </w:r>
    </w:p>
    <w:p w14:paraId="055B549B" w14:textId="77777777" w:rsidR="00883722" w:rsidRPr="00883722" w:rsidRDefault="00883722" w:rsidP="00BF135C">
      <w:pPr>
        <w:jc w:val="both"/>
        <w:rPr>
          <w:rFonts w:ascii="Georgia" w:hAnsi="Georgia" w:cs="Arial"/>
          <w:bCs/>
          <w:sz w:val="22"/>
          <w:szCs w:val="22"/>
        </w:rPr>
      </w:pPr>
    </w:p>
    <w:p w14:paraId="4A3C3111" w14:textId="1BC973F6" w:rsidR="00C02F54" w:rsidRDefault="00883722" w:rsidP="00BF135C">
      <w:pPr>
        <w:jc w:val="both"/>
        <w:rPr>
          <w:rFonts w:ascii="Georgia" w:hAnsi="Georgia" w:cs="Arial"/>
          <w:bCs/>
          <w:sz w:val="22"/>
          <w:szCs w:val="22"/>
        </w:rPr>
      </w:pPr>
      <w:r w:rsidRPr="00883722">
        <w:rPr>
          <w:rFonts w:ascii="Georgia" w:hAnsi="Georgia" w:cs="Arial"/>
          <w:bCs/>
          <w:sz w:val="22"/>
          <w:szCs w:val="22"/>
        </w:rPr>
        <w:t>Zakon prinaša nove začasne ukrepe za omilitev in odpravo posledic epidemije nalezljive bolezni covid-19 ter podaljšuje nekatere dosedanje. Bistvena ukrepa sta delno subvencioniranje skrajšanega polnega delovnega časa in ukrep delnega povračila nadomestila plače delavcem na začasnem čakanju na delo., štipendij, subvencij študentske prehrane, visokega šolstva, infrastrukture ter javnega naročanja.</w:t>
      </w:r>
    </w:p>
    <w:p w14:paraId="48F39D9D" w14:textId="77777777" w:rsidR="00136E32" w:rsidRDefault="00136E32" w:rsidP="00BF135C">
      <w:pPr>
        <w:jc w:val="both"/>
        <w:rPr>
          <w:rFonts w:ascii="Georgia" w:hAnsi="Georgia" w:cs="Arial"/>
          <w:b/>
          <w:sz w:val="22"/>
          <w:szCs w:val="22"/>
        </w:rPr>
      </w:pPr>
    </w:p>
    <w:p w14:paraId="782FFB9D" w14:textId="69792952" w:rsidR="00136E32" w:rsidRPr="00136E32" w:rsidRDefault="00136E32" w:rsidP="00136E32">
      <w:pPr>
        <w:jc w:val="both"/>
        <w:rPr>
          <w:rFonts w:ascii="Georgia" w:hAnsi="Georgia" w:cs="Arial"/>
          <w:b/>
          <w:sz w:val="22"/>
          <w:szCs w:val="22"/>
        </w:rPr>
      </w:pPr>
      <w:r>
        <w:rPr>
          <w:rFonts w:ascii="Georgia" w:hAnsi="Georgia" w:cs="Arial"/>
          <w:b/>
          <w:sz w:val="22"/>
          <w:szCs w:val="22"/>
        </w:rPr>
        <w:t>S</w:t>
      </w:r>
      <w:r w:rsidRPr="00136E32">
        <w:rPr>
          <w:rFonts w:ascii="Georgia" w:hAnsi="Georgia" w:cs="Arial"/>
          <w:b/>
          <w:sz w:val="22"/>
          <w:szCs w:val="22"/>
        </w:rPr>
        <w:t>UBVENCIONIRANJE SKRAJŠANEGA DELOVNEGA ČASA</w:t>
      </w:r>
    </w:p>
    <w:p w14:paraId="25838924" w14:textId="6CE69AF4" w:rsidR="00136E32" w:rsidRPr="00136E32" w:rsidRDefault="00136E32" w:rsidP="00136E32">
      <w:pPr>
        <w:jc w:val="both"/>
        <w:rPr>
          <w:rFonts w:ascii="Georgia" w:hAnsi="Georgia" w:cs="Arial"/>
          <w:bCs/>
          <w:sz w:val="22"/>
          <w:szCs w:val="22"/>
        </w:rPr>
      </w:pPr>
      <w:r w:rsidRPr="00136E32">
        <w:rPr>
          <w:rFonts w:ascii="Georgia" w:hAnsi="Georgia" w:cs="Arial"/>
          <w:bCs/>
          <w:sz w:val="22"/>
          <w:szCs w:val="22"/>
        </w:rPr>
        <w:t>Povračilo nadomestila plače za preostali del delovnega časa do polnega delovnega časa, za katerega je delavcu odrejeno čakanje na delo, v deležu od pet do 20 ur tedensko.</w:t>
      </w:r>
      <w:r w:rsidRPr="00136E32">
        <w:rPr>
          <w:rFonts w:ascii="Georgia" w:hAnsi="Georgia" w:cs="Arial"/>
          <w:bCs/>
          <w:sz w:val="22"/>
          <w:szCs w:val="22"/>
        </w:rPr>
        <w:t xml:space="preserve"> </w:t>
      </w:r>
      <w:r w:rsidRPr="00136E32">
        <w:rPr>
          <w:rFonts w:ascii="Georgia" w:hAnsi="Georgia" w:cs="Arial"/>
          <w:bCs/>
          <w:sz w:val="22"/>
          <w:szCs w:val="22"/>
        </w:rPr>
        <w:t>Delodajalec, ki je pravna ali fizična oseba, ustanovljena pred 13. marcem 2020, ki po lastni oceni najmanj 10 % zaposlenih mesečno ne more zagotavljati najmanj 90 % dela. Izjema so neposredni ali posredni uporabniki proračuna države oz. občin z več kot 50 % deležem prihodkov iz javnih virov.</w:t>
      </w:r>
      <w:r>
        <w:rPr>
          <w:rFonts w:ascii="Georgia" w:hAnsi="Georgia" w:cs="Arial"/>
          <w:bCs/>
          <w:sz w:val="22"/>
          <w:szCs w:val="22"/>
        </w:rPr>
        <w:t xml:space="preserve"> </w:t>
      </w:r>
      <w:r w:rsidRPr="00136E32">
        <w:rPr>
          <w:rFonts w:ascii="Georgia" w:hAnsi="Georgia" w:cs="Arial"/>
          <w:bCs/>
          <w:sz w:val="22"/>
          <w:szCs w:val="22"/>
        </w:rPr>
        <w:t>Delodajalec v času prejemanja subvencije in še mesec dni po tem ne sme začeti postopka odpovedi pogodbe o zaposlitvi iz poslovnega razloga delavcem, ki jim je odredil delo s skrajšanim delovnim časom in prav tako ne večjemu številu delavcev.</w:t>
      </w:r>
    </w:p>
    <w:p w14:paraId="697F2D6F" w14:textId="77777777" w:rsidR="00136E32" w:rsidRDefault="00136E32" w:rsidP="00BF135C">
      <w:pPr>
        <w:jc w:val="both"/>
        <w:rPr>
          <w:rFonts w:ascii="Georgia" w:hAnsi="Georgia" w:cs="Arial"/>
          <w:b/>
          <w:sz w:val="22"/>
          <w:szCs w:val="22"/>
        </w:rPr>
      </w:pPr>
    </w:p>
    <w:p w14:paraId="1B1F0A6D" w14:textId="4EFEEFC3" w:rsidR="00883722" w:rsidRPr="00BF135C" w:rsidRDefault="00BF135C" w:rsidP="00BF135C">
      <w:pPr>
        <w:jc w:val="both"/>
        <w:rPr>
          <w:rFonts w:ascii="Georgia" w:hAnsi="Georgia" w:cs="Arial"/>
          <w:b/>
          <w:sz w:val="22"/>
          <w:szCs w:val="22"/>
        </w:rPr>
      </w:pPr>
      <w:r w:rsidRPr="00BF135C">
        <w:rPr>
          <w:rFonts w:ascii="Georgia" w:hAnsi="Georgia" w:cs="Arial"/>
          <w:b/>
          <w:sz w:val="22"/>
          <w:szCs w:val="22"/>
        </w:rPr>
        <w:t>DELNO POVRAČILO NADOMESTILA PLAČE DELAVCEM NA ZAČASNEM ČAKANJU NA DELO</w:t>
      </w:r>
    </w:p>
    <w:p w14:paraId="38ADAB94" w14:textId="30BF962B" w:rsidR="00883722" w:rsidRPr="00883722" w:rsidRDefault="00883722" w:rsidP="00BF135C">
      <w:pPr>
        <w:jc w:val="both"/>
        <w:rPr>
          <w:rFonts w:ascii="Georgia" w:hAnsi="Georgia" w:cs="Arial"/>
          <w:bCs/>
          <w:sz w:val="22"/>
          <w:szCs w:val="22"/>
        </w:rPr>
      </w:pPr>
      <w:r w:rsidRPr="00883722">
        <w:rPr>
          <w:rFonts w:ascii="Georgia" w:hAnsi="Georgia" w:cs="Arial"/>
          <w:bCs/>
          <w:sz w:val="22"/>
          <w:szCs w:val="22"/>
        </w:rPr>
        <w:t>Povračilo nadomestila plače v višini 80 odstotkov zakonsko določenega zneska za primer začasnega čakanja na delo, vendar ne v višjem znesku od najvišjega zneska denarnega nadomestila za primer brezposelnosti.</w:t>
      </w:r>
      <w:r w:rsidR="00BF135C">
        <w:rPr>
          <w:rFonts w:ascii="Georgia" w:hAnsi="Georgia" w:cs="Arial"/>
          <w:bCs/>
          <w:sz w:val="22"/>
          <w:szCs w:val="22"/>
        </w:rPr>
        <w:t xml:space="preserve"> </w:t>
      </w:r>
      <w:r w:rsidRPr="00883722">
        <w:rPr>
          <w:rFonts w:ascii="Georgia" w:hAnsi="Georgia" w:cs="Arial"/>
          <w:bCs/>
          <w:sz w:val="22"/>
          <w:szCs w:val="22"/>
        </w:rPr>
        <w:t xml:space="preserve">Delodajalci z glavno dejavnostjo na področju turizma in gostinstva ter nosilci dopolnilnih dejavnosti na kmetiji. </w:t>
      </w:r>
    </w:p>
    <w:p w14:paraId="7653DC0C" w14:textId="510809B4" w:rsidR="00883722" w:rsidRPr="00883722" w:rsidRDefault="00BF135C" w:rsidP="00BF135C">
      <w:pPr>
        <w:jc w:val="both"/>
        <w:rPr>
          <w:rFonts w:ascii="Georgia" w:hAnsi="Georgia" w:cs="Arial"/>
          <w:bCs/>
          <w:sz w:val="22"/>
          <w:szCs w:val="22"/>
        </w:rPr>
      </w:pPr>
      <w:r>
        <w:rPr>
          <w:rFonts w:ascii="Georgia" w:hAnsi="Georgia" w:cs="Arial"/>
          <w:bCs/>
          <w:sz w:val="22"/>
          <w:szCs w:val="22"/>
        </w:rPr>
        <w:t>Pogoj za nadomestilo je p</w:t>
      </w:r>
      <w:r w:rsidR="00883722" w:rsidRPr="00883722">
        <w:rPr>
          <w:rFonts w:ascii="Georgia" w:hAnsi="Georgia" w:cs="Arial"/>
          <w:bCs/>
          <w:sz w:val="22"/>
          <w:szCs w:val="22"/>
        </w:rPr>
        <w:t>adec prihodkov v letu 2020 zaradi epidemije za več kot 10 odstotkov glede na leto 2019. V primeru, da niso poslovali v celem letu, se upoštevajo povprečni mesečni prihodki.</w:t>
      </w:r>
    </w:p>
    <w:p w14:paraId="0A2DAD7A" w14:textId="77777777" w:rsidR="00883722" w:rsidRPr="00883722" w:rsidRDefault="00883722" w:rsidP="00BF135C">
      <w:pPr>
        <w:jc w:val="both"/>
        <w:rPr>
          <w:rFonts w:ascii="Georgia" w:hAnsi="Georgia" w:cs="Arial"/>
          <w:bCs/>
          <w:sz w:val="22"/>
          <w:szCs w:val="22"/>
        </w:rPr>
      </w:pPr>
    </w:p>
    <w:p w14:paraId="52D71115" w14:textId="6A9DF5AE" w:rsidR="00BF135C" w:rsidRPr="00BF135C" w:rsidRDefault="00BF135C" w:rsidP="00BF135C">
      <w:pPr>
        <w:jc w:val="both"/>
        <w:rPr>
          <w:rFonts w:ascii="Georgia" w:hAnsi="Georgia" w:cs="Arial"/>
          <w:b/>
          <w:sz w:val="22"/>
          <w:szCs w:val="22"/>
        </w:rPr>
      </w:pPr>
      <w:r w:rsidRPr="00BF135C">
        <w:rPr>
          <w:rFonts w:ascii="Georgia" w:hAnsi="Georgia" w:cs="Arial"/>
          <w:b/>
          <w:sz w:val="22"/>
          <w:szCs w:val="22"/>
        </w:rPr>
        <w:t>TURISTIČNI BONI</w:t>
      </w:r>
    </w:p>
    <w:p w14:paraId="1FB72D86" w14:textId="48E6FC5C" w:rsidR="00BF135C" w:rsidRPr="00BF135C" w:rsidRDefault="00BF135C" w:rsidP="00BF135C">
      <w:pPr>
        <w:jc w:val="both"/>
        <w:rPr>
          <w:rFonts w:ascii="Georgia" w:hAnsi="Georgia" w:cs="Arial"/>
          <w:bCs/>
          <w:sz w:val="22"/>
          <w:szCs w:val="22"/>
        </w:rPr>
      </w:pPr>
      <w:r w:rsidRPr="00BF135C">
        <w:rPr>
          <w:rFonts w:ascii="Georgia" w:hAnsi="Georgia" w:cs="Arial"/>
          <w:bCs/>
          <w:sz w:val="22"/>
          <w:szCs w:val="22"/>
        </w:rPr>
        <w:t>Povračilo stroška nastanitve oz. nastanitve z zajtrkom, plačanih s turističnimi boni, ki jih država izda osebam s stalnim bivališčem v Sloveniji na dan 13. marec 2020 (rojeni do vključno leta 2002 prejmejo bon v višini 200 evrov, mlajši pa 50 evrov).</w:t>
      </w:r>
    </w:p>
    <w:p w14:paraId="58A22F12" w14:textId="77777777" w:rsidR="00BF135C" w:rsidRPr="00BF135C" w:rsidRDefault="00BF135C" w:rsidP="00BF135C">
      <w:pPr>
        <w:jc w:val="both"/>
        <w:rPr>
          <w:rFonts w:ascii="Georgia" w:hAnsi="Georgia" w:cs="Arial"/>
          <w:bCs/>
          <w:sz w:val="22"/>
          <w:szCs w:val="22"/>
        </w:rPr>
      </w:pPr>
    </w:p>
    <w:p w14:paraId="0FC8586D" w14:textId="2EA0D746" w:rsidR="00872852" w:rsidRPr="00872852" w:rsidRDefault="00872852" w:rsidP="00872852">
      <w:pPr>
        <w:jc w:val="both"/>
        <w:rPr>
          <w:rFonts w:ascii="Georgia" w:hAnsi="Georgia" w:cs="Arial"/>
          <w:b/>
          <w:sz w:val="22"/>
          <w:szCs w:val="22"/>
        </w:rPr>
      </w:pPr>
      <w:r w:rsidRPr="00872852">
        <w:rPr>
          <w:rFonts w:ascii="Georgia" w:hAnsi="Georgia" w:cs="Arial"/>
          <w:b/>
          <w:sz w:val="22"/>
          <w:szCs w:val="22"/>
        </w:rPr>
        <w:t>DODATNE FINANČNE SPODBUDE ZA PODJETJA</w:t>
      </w:r>
    </w:p>
    <w:p w14:paraId="13F50D4B" w14:textId="6A6F4DB1" w:rsidR="00872852" w:rsidRPr="00872852" w:rsidRDefault="00872852" w:rsidP="00872852">
      <w:pPr>
        <w:jc w:val="both"/>
        <w:rPr>
          <w:rFonts w:ascii="Georgia" w:hAnsi="Georgia" w:cs="Arial"/>
          <w:bCs/>
          <w:sz w:val="22"/>
          <w:szCs w:val="22"/>
        </w:rPr>
      </w:pPr>
      <w:r w:rsidRPr="00872852">
        <w:rPr>
          <w:rFonts w:ascii="Georgia" w:hAnsi="Georgia" w:cs="Arial"/>
          <w:bCs/>
          <w:sz w:val="22"/>
          <w:szCs w:val="22"/>
        </w:rPr>
        <w:t>Državne pomoči v obliki nepovratnih in povratnih sredstev za sofinanciranje izpada prihodka v turizmu in gostinstvu, za zagotovitev podpore predelovalni dejavnosti na obmejnih problemskih področjih, za zagotovitev digitalizacije in digitalne transformacije podjetij ter za razvojne projekte.</w:t>
      </w:r>
    </w:p>
    <w:p w14:paraId="3B0BA0DD" w14:textId="77777777" w:rsidR="00872852" w:rsidRPr="00872852" w:rsidRDefault="00872852" w:rsidP="00872852">
      <w:pPr>
        <w:jc w:val="both"/>
        <w:rPr>
          <w:rFonts w:ascii="Georgia" w:hAnsi="Georgia" w:cs="Arial"/>
          <w:bCs/>
          <w:sz w:val="22"/>
          <w:szCs w:val="22"/>
        </w:rPr>
      </w:pPr>
    </w:p>
    <w:p w14:paraId="037BC035" w14:textId="0693A9ED" w:rsidR="00872852" w:rsidRPr="00872852" w:rsidRDefault="00872852" w:rsidP="00872852">
      <w:pPr>
        <w:jc w:val="both"/>
        <w:rPr>
          <w:rFonts w:ascii="Georgia" w:hAnsi="Georgia" w:cs="Arial"/>
          <w:b/>
          <w:sz w:val="22"/>
          <w:szCs w:val="22"/>
        </w:rPr>
      </w:pPr>
      <w:r w:rsidRPr="00872852">
        <w:rPr>
          <w:rFonts w:ascii="Georgia" w:hAnsi="Georgia" w:cs="Arial"/>
          <w:b/>
          <w:sz w:val="22"/>
          <w:szCs w:val="22"/>
        </w:rPr>
        <w:lastRenderedPageBreak/>
        <w:t>MANJ STROGI POGOJI PRI DRŽAVNIH SPODBUDAH ZA SPODBUJANJE INVESTICIJ</w:t>
      </w:r>
    </w:p>
    <w:p w14:paraId="3D896CD3" w14:textId="69EAA87C" w:rsidR="00872852" w:rsidRPr="00872852" w:rsidRDefault="00872852" w:rsidP="00872852">
      <w:pPr>
        <w:jc w:val="both"/>
        <w:rPr>
          <w:rFonts w:ascii="Georgia" w:hAnsi="Georgia" w:cs="Arial"/>
          <w:bCs/>
          <w:sz w:val="22"/>
          <w:szCs w:val="22"/>
        </w:rPr>
      </w:pPr>
      <w:r w:rsidRPr="00872852">
        <w:rPr>
          <w:rFonts w:ascii="Georgia" w:hAnsi="Georgia" w:cs="Arial"/>
          <w:bCs/>
          <w:sz w:val="22"/>
          <w:szCs w:val="22"/>
        </w:rPr>
        <w:t>Vrednost investicije, za katero se dodeli spodbuda, tako kot v veljavnem zakonu za spodbujanje investicij ostaja milijon evrov v predelovalni dejavnosti ter pol milijona evrov v storitveni in razvojno-raziskovalni dejavnosti, se pa znižuje zahtevano število delovnih mest, ki ga mora investicija ustvariti v treh letih po zaključku. Poleg tega se znižuje vrednost investicije s statusom bistvenega prispevka k razvoju slovenskega gospodarstva, in sicer na 12, tri oz. dva milijona evrov.</w:t>
      </w:r>
    </w:p>
    <w:p w14:paraId="5C209DA3" w14:textId="77777777" w:rsidR="00872852" w:rsidRPr="00872852" w:rsidRDefault="00872852" w:rsidP="00872852">
      <w:pPr>
        <w:jc w:val="both"/>
        <w:rPr>
          <w:rFonts w:ascii="Georgia" w:hAnsi="Georgia" w:cs="Arial"/>
          <w:bCs/>
          <w:sz w:val="22"/>
          <w:szCs w:val="22"/>
        </w:rPr>
      </w:pPr>
    </w:p>
    <w:p w14:paraId="23F4AD0E" w14:textId="3FA30B61" w:rsidR="00BF135C" w:rsidRPr="00872852" w:rsidRDefault="00872852" w:rsidP="00BF135C">
      <w:pPr>
        <w:jc w:val="both"/>
        <w:rPr>
          <w:rFonts w:ascii="Georgia" w:hAnsi="Georgia" w:cs="Arial"/>
          <w:b/>
          <w:sz w:val="22"/>
          <w:szCs w:val="22"/>
        </w:rPr>
      </w:pPr>
      <w:r w:rsidRPr="00872852">
        <w:rPr>
          <w:rFonts w:ascii="Georgia" w:hAnsi="Georgia" w:cs="Arial"/>
          <w:b/>
          <w:sz w:val="22"/>
          <w:szCs w:val="22"/>
        </w:rPr>
        <w:t>RAZLIČNE OBLIKE POMOČI GOSPODARSKIM SUBJEKTOM IN DRUGIM UPRAVIČENCEM NA VEČ PODROČJIH</w:t>
      </w:r>
    </w:p>
    <w:p w14:paraId="7C9FC793" w14:textId="63BCC93C"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 xml:space="preserve">Ukrep finančnega inženiringa za namen financiranja gospodarskih subjektov na področju cestnih prevozov, za katerega država v letu 2020 nameni 10 milijonov evrov, SID banka pa 25 </w:t>
      </w:r>
      <w:proofErr w:type="spellStart"/>
      <w:r w:rsidRPr="00872852">
        <w:rPr>
          <w:rFonts w:ascii="Georgia" w:hAnsi="Georgia" w:cs="Arial"/>
          <w:bCs/>
          <w:sz w:val="22"/>
          <w:szCs w:val="22"/>
        </w:rPr>
        <w:t>milijonov</w:t>
      </w:r>
      <w:proofErr w:type="spellEnd"/>
      <w:r w:rsidRPr="00872852">
        <w:rPr>
          <w:rFonts w:ascii="Georgia" w:hAnsi="Georgia" w:cs="Arial"/>
          <w:bCs/>
          <w:sz w:val="22"/>
          <w:szCs w:val="22"/>
        </w:rPr>
        <w:t xml:space="preserve"> </w:t>
      </w:r>
      <w:proofErr w:type="spellStart"/>
      <w:r w:rsidRPr="00872852">
        <w:rPr>
          <w:rFonts w:ascii="Georgia" w:hAnsi="Georgia" w:cs="Arial"/>
          <w:bCs/>
          <w:sz w:val="22"/>
          <w:szCs w:val="22"/>
        </w:rPr>
        <w:t>evrov</w:t>
      </w:r>
      <w:proofErr w:type="spellEnd"/>
      <w:r w:rsidRPr="00872852">
        <w:rPr>
          <w:rFonts w:ascii="Georgia" w:hAnsi="Georgia" w:cs="Arial"/>
          <w:bCs/>
          <w:sz w:val="22"/>
          <w:szCs w:val="22"/>
        </w:rPr>
        <w:t>.</w:t>
      </w:r>
    </w:p>
    <w:p w14:paraId="73B8A54B" w14:textId="65A9541B"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Finančna pomoč upravljavcem žičniških naprav v višini od 1000 evrov za vlečnice z nizko vodeno vrvjo do 12.200 evrov za nihalne žičnice in vzpenjače.</w:t>
      </w:r>
    </w:p>
    <w:p w14:paraId="55855AEF" w14:textId="2A3AD657"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Ne glede na določbe zakona o javnih naročilih se lahko veljavne pogodbe ali veljavni okvirni sporazumi za izvajanje posebnih linijskih prevozov, ki se v času razglašene epidemije niso mogli izvajati oz. so se izvajali bistveno oteženo, brez javnega razpisa podaljšajo do 1. septembra 2021.</w:t>
      </w:r>
    </w:p>
    <w:p w14:paraId="7518CD36" w14:textId="024CE6D8"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Rastlinjaki za pridelavo hrane se lahko do konca leta 2020 postavijo na vseh kmetijskih zemljiščih z boniteto pod 35. Pobude za izkoriščanje geotermalne vode za namene uporabe v rastlinjakih se obravnavajo prednostno.</w:t>
      </w:r>
    </w:p>
    <w:p w14:paraId="43377AE2" w14:textId="123A412E"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Možnost podaljšanja dovoljenj za sezonsko delo v kmetijstvu ali gozdarstvu za tujce za največ 150 dni.</w:t>
      </w:r>
    </w:p>
    <w:p w14:paraId="2E91F617" w14:textId="1EA407F9" w:rsidR="00BF135C" w:rsidRPr="00BF135C" w:rsidRDefault="00BF135C" w:rsidP="00872852">
      <w:pPr>
        <w:pStyle w:val="Odstavekseznama"/>
        <w:numPr>
          <w:ilvl w:val="0"/>
          <w:numId w:val="20"/>
        </w:numPr>
        <w:ind w:left="426"/>
        <w:jc w:val="both"/>
        <w:rPr>
          <w:rFonts w:ascii="Georgia" w:hAnsi="Georgia" w:cs="Arial"/>
          <w:bCs/>
          <w:sz w:val="22"/>
          <w:szCs w:val="22"/>
        </w:rPr>
      </w:pPr>
      <w:r w:rsidRPr="00BF135C">
        <w:rPr>
          <w:rFonts w:ascii="Georgia" w:hAnsi="Georgia" w:cs="Arial"/>
          <w:bCs/>
          <w:sz w:val="22"/>
          <w:szCs w:val="22"/>
        </w:rPr>
        <w:t>Odpis nadomestila za stavbno pravico in znižanje cen zakupnin kmetijskih zemljišč v upravljanju Sklada kmetijskih in gozdnih zemljišč do konca leta 2020. Sklad lahko v brezplačni zakup za dobo 10 let odda kmetijska zemljišče v zaraščanju, drevesa in grmičevje ali kmetijsko zemljišče, poraslo z gozdnim drevjem.</w:t>
      </w:r>
    </w:p>
    <w:p w14:paraId="3843B48D" w14:textId="1A20B869" w:rsidR="00BF135C" w:rsidRPr="00BF135C" w:rsidRDefault="00BF135C" w:rsidP="00872852">
      <w:pPr>
        <w:pStyle w:val="Odstavekseznama"/>
        <w:numPr>
          <w:ilvl w:val="0"/>
          <w:numId w:val="20"/>
        </w:numPr>
        <w:ind w:left="426"/>
        <w:jc w:val="both"/>
        <w:rPr>
          <w:rFonts w:ascii="Georgia" w:hAnsi="Georgia" w:cs="Arial"/>
          <w:bCs/>
          <w:sz w:val="22"/>
          <w:szCs w:val="22"/>
        </w:rPr>
      </w:pPr>
      <w:r w:rsidRPr="00BF135C">
        <w:rPr>
          <w:rFonts w:ascii="Georgia" w:hAnsi="Georgia" w:cs="Arial"/>
          <w:bCs/>
          <w:sz w:val="22"/>
          <w:szCs w:val="22"/>
        </w:rPr>
        <w:t>Kritje stroška socialno-varstvene storitve pomoč družini na domu, ki se zaradi epidemije ne izvede, v višini 80 odstotkov. Krizni dodatek za zasebne izvajalce te storitve. Kritje stroška oskrbnine uporabnikom institucionalnega varstva, ki so bili iz razloga epidemije premeščeni v domačo oskrbo.</w:t>
      </w:r>
    </w:p>
    <w:p w14:paraId="781D0A51" w14:textId="10176312"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Zvišanje subvencije plače za zaposlene invalide za 10 odstotkov minimalne plače.</w:t>
      </w:r>
    </w:p>
    <w:p w14:paraId="6120C068" w14:textId="33BD7C52" w:rsidR="00BF135C" w:rsidRPr="00872852" w:rsidRDefault="00BF135C" w:rsidP="00872852">
      <w:pPr>
        <w:pStyle w:val="Odstavekseznama"/>
        <w:numPr>
          <w:ilvl w:val="0"/>
          <w:numId w:val="20"/>
        </w:numPr>
        <w:ind w:left="426"/>
        <w:jc w:val="both"/>
        <w:rPr>
          <w:rFonts w:ascii="Georgia" w:hAnsi="Georgia" w:cs="Arial"/>
          <w:bCs/>
          <w:sz w:val="22"/>
          <w:szCs w:val="22"/>
        </w:rPr>
      </w:pPr>
      <w:r w:rsidRPr="00872852">
        <w:rPr>
          <w:rFonts w:ascii="Georgia" w:hAnsi="Georgia" w:cs="Arial"/>
          <w:bCs/>
          <w:sz w:val="22"/>
          <w:szCs w:val="22"/>
        </w:rPr>
        <w:t>Izdaja vrednotnic v vrednosti vstopnice organizatorjem športnih prireditev, ki teh zaradi epidemije ne morejo izvesti.</w:t>
      </w:r>
    </w:p>
    <w:p w14:paraId="606935E7" w14:textId="1D1324FF" w:rsidR="00BF135C" w:rsidRPr="00872852" w:rsidRDefault="00BF135C" w:rsidP="00872852">
      <w:pPr>
        <w:pStyle w:val="Odstavekseznama"/>
        <w:numPr>
          <w:ilvl w:val="0"/>
          <w:numId w:val="20"/>
        </w:numPr>
        <w:ind w:left="426" w:hanging="349"/>
        <w:jc w:val="both"/>
        <w:rPr>
          <w:rFonts w:ascii="Georgia" w:hAnsi="Georgia" w:cs="Arial"/>
          <w:bCs/>
          <w:sz w:val="22"/>
          <w:szCs w:val="22"/>
        </w:rPr>
      </w:pPr>
      <w:r w:rsidRPr="00872852">
        <w:rPr>
          <w:rFonts w:ascii="Georgia" w:hAnsi="Georgia" w:cs="Arial"/>
          <w:bCs/>
          <w:sz w:val="22"/>
          <w:szCs w:val="22"/>
        </w:rPr>
        <w:t xml:space="preserve">Izplačilo dodatka za nevarnosti in posebne obremenitve pripadnikom civilne zaščite in drugim sodelujočim pri opravljanju nalog za zajezitev epidemije v </w:t>
      </w:r>
      <w:proofErr w:type="spellStart"/>
      <w:r w:rsidRPr="00872852">
        <w:rPr>
          <w:rFonts w:ascii="Georgia" w:hAnsi="Georgia" w:cs="Arial"/>
          <w:bCs/>
          <w:sz w:val="22"/>
          <w:szCs w:val="22"/>
        </w:rPr>
        <w:t>višini</w:t>
      </w:r>
      <w:proofErr w:type="spellEnd"/>
      <w:r w:rsidRPr="00872852">
        <w:rPr>
          <w:rFonts w:ascii="Georgia" w:hAnsi="Georgia" w:cs="Arial"/>
          <w:bCs/>
          <w:sz w:val="22"/>
          <w:szCs w:val="22"/>
        </w:rPr>
        <w:t xml:space="preserve"> 30 </w:t>
      </w:r>
      <w:proofErr w:type="spellStart"/>
      <w:r w:rsidRPr="00872852">
        <w:rPr>
          <w:rFonts w:ascii="Georgia" w:hAnsi="Georgia" w:cs="Arial"/>
          <w:bCs/>
          <w:sz w:val="22"/>
          <w:szCs w:val="22"/>
        </w:rPr>
        <w:t>evrov</w:t>
      </w:r>
      <w:proofErr w:type="spellEnd"/>
      <w:r w:rsidRPr="00872852">
        <w:rPr>
          <w:rFonts w:ascii="Georgia" w:hAnsi="Georgia" w:cs="Arial"/>
          <w:bCs/>
          <w:sz w:val="22"/>
          <w:szCs w:val="22"/>
        </w:rPr>
        <w:t xml:space="preserve"> </w:t>
      </w:r>
      <w:proofErr w:type="spellStart"/>
      <w:r w:rsidRPr="00872852">
        <w:rPr>
          <w:rFonts w:ascii="Georgia" w:hAnsi="Georgia" w:cs="Arial"/>
          <w:bCs/>
          <w:sz w:val="22"/>
          <w:szCs w:val="22"/>
        </w:rPr>
        <w:t>dnevno</w:t>
      </w:r>
      <w:proofErr w:type="spellEnd"/>
      <w:r w:rsidRPr="00872852">
        <w:rPr>
          <w:rFonts w:ascii="Georgia" w:hAnsi="Georgia" w:cs="Arial"/>
          <w:bCs/>
          <w:sz w:val="22"/>
          <w:szCs w:val="22"/>
        </w:rPr>
        <w:t>.</w:t>
      </w:r>
    </w:p>
    <w:p w14:paraId="729107D7" w14:textId="027F06BC" w:rsidR="00BF135C" w:rsidRPr="00872852" w:rsidRDefault="00BF135C" w:rsidP="00872852">
      <w:pPr>
        <w:pStyle w:val="Odstavekseznama"/>
        <w:numPr>
          <w:ilvl w:val="0"/>
          <w:numId w:val="20"/>
        </w:numPr>
        <w:ind w:left="426" w:hanging="349"/>
        <w:jc w:val="both"/>
        <w:rPr>
          <w:rFonts w:ascii="Georgia" w:hAnsi="Georgia" w:cs="Arial"/>
          <w:bCs/>
          <w:sz w:val="22"/>
          <w:szCs w:val="22"/>
        </w:rPr>
      </w:pPr>
      <w:r w:rsidRPr="00872852">
        <w:rPr>
          <w:rFonts w:ascii="Georgia" w:hAnsi="Georgia" w:cs="Arial"/>
          <w:bCs/>
          <w:sz w:val="22"/>
          <w:szCs w:val="22"/>
        </w:rPr>
        <w:t>Oprostitev plačila vrtca za otroke, ki od 18. maja do 30. junija ne bodo obiskovali vrtca.</w:t>
      </w:r>
    </w:p>
    <w:p w14:paraId="25E54796" w14:textId="5E320155" w:rsidR="00883722" w:rsidRPr="00872852" w:rsidRDefault="00BF135C" w:rsidP="00872852">
      <w:pPr>
        <w:pStyle w:val="Odstavekseznama"/>
        <w:numPr>
          <w:ilvl w:val="0"/>
          <w:numId w:val="20"/>
        </w:numPr>
        <w:ind w:left="426" w:hanging="349"/>
        <w:jc w:val="both"/>
        <w:rPr>
          <w:rFonts w:ascii="Georgia" w:hAnsi="Georgia" w:cs="Arial"/>
          <w:bCs/>
          <w:sz w:val="22"/>
          <w:szCs w:val="22"/>
        </w:rPr>
      </w:pPr>
      <w:r w:rsidRPr="00872852">
        <w:rPr>
          <w:rFonts w:ascii="Georgia" w:hAnsi="Georgia" w:cs="Arial"/>
          <w:bCs/>
          <w:sz w:val="22"/>
          <w:szCs w:val="22"/>
        </w:rPr>
        <w:t>Delno povračilo sredstev zdravstvenim, socialno-varstvenim in vzgojno-izobraževalnim zavodom, ki v času epidemije niso mogli izvajati dejavnosti.</w:t>
      </w:r>
    </w:p>
    <w:p w14:paraId="34277971" w14:textId="77777777" w:rsidR="00883722" w:rsidRDefault="00883722" w:rsidP="00BF135C">
      <w:pPr>
        <w:jc w:val="both"/>
        <w:rPr>
          <w:rFonts w:ascii="Georgia" w:eastAsia="Times New Roman" w:hAnsi="Georgia" w:cstheme="minorHAnsi"/>
          <w:b/>
          <w:bCs/>
          <w:color w:val="333333"/>
          <w:sz w:val="22"/>
          <w:szCs w:val="22"/>
          <w:lang w:eastAsia="sl-SI"/>
        </w:rPr>
      </w:pPr>
    </w:p>
    <w:p w14:paraId="566E7840" w14:textId="77777777" w:rsidR="00872852" w:rsidRDefault="00872852" w:rsidP="00BF135C">
      <w:pPr>
        <w:jc w:val="both"/>
        <w:rPr>
          <w:rFonts w:ascii="Georgia" w:eastAsia="Times New Roman" w:hAnsi="Georgia" w:cstheme="minorHAnsi"/>
          <w:b/>
          <w:bCs/>
          <w:color w:val="333333"/>
          <w:sz w:val="22"/>
          <w:szCs w:val="22"/>
          <w:lang w:eastAsia="sl-SI"/>
        </w:rPr>
      </w:pPr>
    </w:p>
    <w:p w14:paraId="39BC0FC1" w14:textId="77777777" w:rsidR="00872852" w:rsidRDefault="00872852" w:rsidP="00BF135C">
      <w:pPr>
        <w:jc w:val="both"/>
        <w:rPr>
          <w:rFonts w:ascii="Georgia" w:eastAsia="Times New Roman" w:hAnsi="Georgia" w:cstheme="minorHAnsi"/>
          <w:b/>
          <w:bCs/>
          <w:color w:val="333333"/>
          <w:sz w:val="22"/>
          <w:szCs w:val="22"/>
          <w:lang w:eastAsia="sl-SI"/>
        </w:rPr>
      </w:pPr>
    </w:p>
    <w:p w14:paraId="05C4C3FC" w14:textId="67080531" w:rsidR="00C821B7" w:rsidRPr="000C7D1F" w:rsidRDefault="005A3398" w:rsidP="00BF135C">
      <w:pPr>
        <w:jc w:val="both"/>
        <w:rPr>
          <w:rFonts w:ascii="Georgia" w:hAnsi="Georgia"/>
          <w:b/>
          <w:bCs/>
          <w:sz w:val="22"/>
          <w:szCs w:val="22"/>
        </w:rPr>
      </w:pPr>
      <w:r w:rsidRPr="000C7D1F">
        <w:rPr>
          <w:rFonts w:ascii="Georgia" w:eastAsia="Times New Roman" w:hAnsi="Georgia" w:cstheme="minorHAnsi"/>
          <w:b/>
          <w:bCs/>
          <w:color w:val="333333"/>
          <w:sz w:val="22"/>
          <w:szCs w:val="22"/>
          <w:lang w:eastAsia="sl-SI"/>
        </w:rPr>
        <w:t>Klavdija Šemenc, SPOT svetovanje SAVINJSKA</w:t>
      </w:r>
    </w:p>
    <w:sectPr w:rsidR="00C821B7" w:rsidRPr="000C7D1F" w:rsidSect="002A4608">
      <w:footerReference w:type="default" r:id="rId9"/>
      <w:pgSz w:w="11900" w:h="16840"/>
      <w:pgMar w:top="993" w:right="1304" w:bottom="2041" w:left="26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775F" w14:textId="77777777" w:rsidR="00A75B58" w:rsidRDefault="00A75B58" w:rsidP="00862C6E">
      <w:r>
        <w:separator/>
      </w:r>
    </w:p>
  </w:endnote>
  <w:endnote w:type="continuationSeparator" w:id="0">
    <w:p w14:paraId="16EE38C9" w14:textId="77777777" w:rsidR="00A75B58" w:rsidRDefault="00A75B58"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118B" w14:textId="77777777" w:rsidR="00B31CAF" w:rsidRDefault="00B31CAF" w:rsidP="00B31CAF">
    <w:pPr>
      <w:pStyle w:val="Noga"/>
      <w:jc w:val="both"/>
      <w:rPr>
        <w:rFonts w:ascii="Georgia" w:hAnsi="Georgia"/>
        <w:noProof/>
        <w:sz w:val="18"/>
        <w:szCs w:val="18"/>
        <w:lang w:eastAsia="sl-SI"/>
      </w:rPr>
    </w:pPr>
  </w:p>
  <w:p w14:paraId="3E53C5E8" w14:textId="77777777" w:rsidR="00B31CAF" w:rsidRDefault="00B31CAF" w:rsidP="00B31CAF">
    <w:pPr>
      <w:pStyle w:val="Noga"/>
      <w:jc w:val="both"/>
      <w:rPr>
        <w:rFonts w:ascii="Georgia" w:hAnsi="Georgia"/>
        <w:noProof/>
        <w:sz w:val="16"/>
        <w:szCs w:val="16"/>
        <w:lang w:eastAsia="sl-SI"/>
      </w:rPr>
    </w:pPr>
  </w:p>
  <w:p w14:paraId="2EDC28E7" w14:textId="77777777" w:rsidR="00862C6E" w:rsidRPr="00B31CAF" w:rsidRDefault="00B31CAF" w:rsidP="00B31CAF">
    <w:pPr>
      <w:pStyle w:val="Noga"/>
      <w:jc w:val="both"/>
      <w:rPr>
        <w:rFonts w:ascii="Georgia" w:hAnsi="Georgia"/>
        <w:sz w:val="16"/>
        <w:szCs w:val="16"/>
      </w:rPr>
    </w:pPr>
    <w:r w:rsidRPr="00B31CAF">
      <w:rPr>
        <w:rFonts w:ascii="Georgia" w:hAnsi="Georgia"/>
        <w:noProof/>
        <w:sz w:val="16"/>
        <w:szCs w:val="16"/>
        <w:lang w:eastAsia="sl-SI"/>
      </w:rPr>
      <w:drawing>
        <wp:anchor distT="0" distB="0" distL="114300" distR="114300" simplePos="0" relativeHeight="251658240" behindDoc="1" locked="0" layoutInCell="1" allowOverlap="1" wp14:anchorId="7E195E5F" wp14:editId="2E466C62">
          <wp:simplePos x="0" y="0"/>
          <wp:positionH relativeFrom="page">
            <wp:align>left</wp:align>
          </wp:positionH>
          <wp:positionV relativeFrom="paragraph">
            <wp:posOffset>-602615</wp:posOffset>
          </wp:positionV>
          <wp:extent cx="7560000" cy="1255429"/>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429"/>
                  </a:xfrm>
                  <a:prstGeom prst="rect">
                    <a:avLst/>
                  </a:prstGeom>
                </pic:spPr>
              </pic:pic>
            </a:graphicData>
          </a:graphic>
        </wp:anchor>
      </w:drawing>
    </w:r>
    <w:r w:rsidRPr="00B31CAF">
      <w:rPr>
        <w:rFonts w:ascii="Georgia" w:hAnsi="Georgia"/>
        <w:noProof/>
        <w:sz w:val="16"/>
        <w:szCs w:val="16"/>
        <w:lang w:eastAsia="sl-SI"/>
      </w:rPr>
      <w:t xml:space="preserve">Projekt je sofinanciran s pomočjo Evropskega sklada za regionalni razvoj, Ministrstva za gospodarski razvoj in tehnologijo ter SPIRIT Slovenija, javna agencija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08EF" w14:textId="77777777" w:rsidR="00A75B58" w:rsidRDefault="00A75B58" w:rsidP="00862C6E">
      <w:r>
        <w:separator/>
      </w:r>
    </w:p>
  </w:footnote>
  <w:footnote w:type="continuationSeparator" w:id="0">
    <w:p w14:paraId="61799DDA" w14:textId="77777777" w:rsidR="00A75B58" w:rsidRDefault="00A75B58" w:rsidP="0086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2BA"/>
    <w:multiLevelType w:val="multilevel"/>
    <w:tmpl w:val="458C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95F"/>
    <w:multiLevelType w:val="hybridMultilevel"/>
    <w:tmpl w:val="E3A82A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117C6A0F"/>
    <w:multiLevelType w:val="hybridMultilevel"/>
    <w:tmpl w:val="3B94EBA2"/>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84EB3"/>
    <w:multiLevelType w:val="hybridMultilevel"/>
    <w:tmpl w:val="F23C7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73467F"/>
    <w:multiLevelType w:val="hybridMultilevel"/>
    <w:tmpl w:val="4252C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1B668E"/>
    <w:multiLevelType w:val="hybridMultilevel"/>
    <w:tmpl w:val="4FB09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8A3227"/>
    <w:multiLevelType w:val="hybridMultilevel"/>
    <w:tmpl w:val="8F820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2A1AE1"/>
    <w:multiLevelType w:val="multilevel"/>
    <w:tmpl w:val="B2DA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A28C4"/>
    <w:multiLevelType w:val="hybridMultilevel"/>
    <w:tmpl w:val="39061000"/>
    <w:lvl w:ilvl="0" w:tplc="1A046C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ED0076"/>
    <w:multiLevelType w:val="multilevel"/>
    <w:tmpl w:val="B79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15B57"/>
    <w:multiLevelType w:val="hybridMultilevel"/>
    <w:tmpl w:val="C75A7A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5EA773A2"/>
    <w:multiLevelType w:val="multilevel"/>
    <w:tmpl w:val="DBE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BC2D12"/>
    <w:multiLevelType w:val="multilevel"/>
    <w:tmpl w:val="6D5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B4541"/>
    <w:multiLevelType w:val="hybridMultilevel"/>
    <w:tmpl w:val="7ED2C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58A2C73"/>
    <w:multiLevelType w:val="hybridMultilevel"/>
    <w:tmpl w:val="C79C4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F3B7982"/>
    <w:multiLevelType w:val="hybridMultilevel"/>
    <w:tmpl w:val="9C144F00"/>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27641D"/>
    <w:multiLevelType w:val="multilevel"/>
    <w:tmpl w:val="DA32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B51E7"/>
    <w:multiLevelType w:val="hybridMultilevel"/>
    <w:tmpl w:val="8E70F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BF6A9D"/>
    <w:multiLevelType w:val="hybridMultilevel"/>
    <w:tmpl w:val="C776B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6"/>
  </w:num>
  <w:num w:numId="11">
    <w:abstractNumId w:val="17"/>
  </w:num>
  <w:num w:numId="12">
    <w:abstractNumId w:val="16"/>
  </w:num>
  <w:num w:numId="13">
    <w:abstractNumId w:val="12"/>
  </w:num>
  <w:num w:numId="14">
    <w:abstractNumId w:val="7"/>
  </w:num>
  <w:num w:numId="15">
    <w:abstractNumId w:val="8"/>
  </w:num>
  <w:num w:numId="16">
    <w:abstractNumId w:val="5"/>
  </w:num>
  <w:num w:numId="17">
    <w:abstractNumId w:val="14"/>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8"/>
    <w:rsid w:val="00003E97"/>
    <w:rsid w:val="000160E5"/>
    <w:rsid w:val="00053FE3"/>
    <w:rsid w:val="000C7D1F"/>
    <w:rsid w:val="000E4E45"/>
    <w:rsid w:val="000F3127"/>
    <w:rsid w:val="000F37DE"/>
    <w:rsid w:val="000F4380"/>
    <w:rsid w:val="00115C33"/>
    <w:rsid w:val="001267DE"/>
    <w:rsid w:val="00136E32"/>
    <w:rsid w:val="001625DB"/>
    <w:rsid w:val="001C2D48"/>
    <w:rsid w:val="001C3726"/>
    <w:rsid w:val="001D64C2"/>
    <w:rsid w:val="001F3FED"/>
    <w:rsid w:val="001F4D2F"/>
    <w:rsid w:val="00251422"/>
    <w:rsid w:val="002A4608"/>
    <w:rsid w:val="002A7966"/>
    <w:rsid w:val="002D1344"/>
    <w:rsid w:val="002E5A58"/>
    <w:rsid w:val="00341652"/>
    <w:rsid w:val="00370B04"/>
    <w:rsid w:val="00375ADF"/>
    <w:rsid w:val="003831D2"/>
    <w:rsid w:val="0041592E"/>
    <w:rsid w:val="00416513"/>
    <w:rsid w:val="00435BF6"/>
    <w:rsid w:val="00463B90"/>
    <w:rsid w:val="00475AEA"/>
    <w:rsid w:val="00476EC2"/>
    <w:rsid w:val="004D1733"/>
    <w:rsid w:val="004D1B6C"/>
    <w:rsid w:val="004E6E58"/>
    <w:rsid w:val="00525F75"/>
    <w:rsid w:val="005451BC"/>
    <w:rsid w:val="00556426"/>
    <w:rsid w:val="00560B9A"/>
    <w:rsid w:val="00560E2F"/>
    <w:rsid w:val="005647EC"/>
    <w:rsid w:val="00576987"/>
    <w:rsid w:val="005818CB"/>
    <w:rsid w:val="005A18F5"/>
    <w:rsid w:val="005A3398"/>
    <w:rsid w:val="005A5D29"/>
    <w:rsid w:val="005A77B1"/>
    <w:rsid w:val="005B17F5"/>
    <w:rsid w:val="00610BDE"/>
    <w:rsid w:val="006201B3"/>
    <w:rsid w:val="00624507"/>
    <w:rsid w:val="00643A20"/>
    <w:rsid w:val="00653E04"/>
    <w:rsid w:val="006805F1"/>
    <w:rsid w:val="00681320"/>
    <w:rsid w:val="006B1300"/>
    <w:rsid w:val="006F3A62"/>
    <w:rsid w:val="00702ED4"/>
    <w:rsid w:val="00712CA8"/>
    <w:rsid w:val="00744379"/>
    <w:rsid w:val="007A1545"/>
    <w:rsid w:val="007C3461"/>
    <w:rsid w:val="007C6F9C"/>
    <w:rsid w:val="007D7774"/>
    <w:rsid w:val="007F3A5F"/>
    <w:rsid w:val="008560A3"/>
    <w:rsid w:val="00862C6E"/>
    <w:rsid w:val="00864F2D"/>
    <w:rsid w:val="00872852"/>
    <w:rsid w:val="00875D3D"/>
    <w:rsid w:val="00883722"/>
    <w:rsid w:val="00890411"/>
    <w:rsid w:val="008A206B"/>
    <w:rsid w:val="008A2627"/>
    <w:rsid w:val="00930454"/>
    <w:rsid w:val="009331A9"/>
    <w:rsid w:val="00950D85"/>
    <w:rsid w:val="00953C61"/>
    <w:rsid w:val="00962345"/>
    <w:rsid w:val="009630E4"/>
    <w:rsid w:val="009748F5"/>
    <w:rsid w:val="009A1A88"/>
    <w:rsid w:val="009F748C"/>
    <w:rsid w:val="00A2721D"/>
    <w:rsid w:val="00A33145"/>
    <w:rsid w:val="00A3339E"/>
    <w:rsid w:val="00A5204B"/>
    <w:rsid w:val="00A65B94"/>
    <w:rsid w:val="00A670F1"/>
    <w:rsid w:val="00A67277"/>
    <w:rsid w:val="00A75B58"/>
    <w:rsid w:val="00A86778"/>
    <w:rsid w:val="00AA0C29"/>
    <w:rsid w:val="00AE0DB6"/>
    <w:rsid w:val="00B06BB7"/>
    <w:rsid w:val="00B31CAF"/>
    <w:rsid w:val="00B54339"/>
    <w:rsid w:val="00B66955"/>
    <w:rsid w:val="00BB2FF9"/>
    <w:rsid w:val="00BD4271"/>
    <w:rsid w:val="00BF135C"/>
    <w:rsid w:val="00C02F54"/>
    <w:rsid w:val="00C0729F"/>
    <w:rsid w:val="00C14475"/>
    <w:rsid w:val="00C20185"/>
    <w:rsid w:val="00C61280"/>
    <w:rsid w:val="00C821B7"/>
    <w:rsid w:val="00CA30C8"/>
    <w:rsid w:val="00CE27DC"/>
    <w:rsid w:val="00CE794B"/>
    <w:rsid w:val="00D54160"/>
    <w:rsid w:val="00D77964"/>
    <w:rsid w:val="00DA6F0C"/>
    <w:rsid w:val="00DC3B38"/>
    <w:rsid w:val="00DF2B12"/>
    <w:rsid w:val="00E41A9C"/>
    <w:rsid w:val="00E80D3F"/>
    <w:rsid w:val="00EC3419"/>
    <w:rsid w:val="00EE0089"/>
    <w:rsid w:val="00EE0E8A"/>
    <w:rsid w:val="00F00240"/>
    <w:rsid w:val="00F131F8"/>
    <w:rsid w:val="00F45F3D"/>
    <w:rsid w:val="00F5631B"/>
    <w:rsid w:val="00F90DCA"/>
    <w:rsid w:val="00FA44CD"/>
    <w:rsid w:val="00FB1964"/>
    <w:rsid w:val="00FC04CF"/>
    <w:rsid w:val="00FC2967"/>
    <w:rsid w:val="00FC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8573"/>
  <w15:docId w15:val="{35169527-E22E-4F0B-8653-E6DD1D32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2C6E"/>
    <w:rPr>
      <w:lang w:val="sl-SI"/>
    </w:rPr>
  </w:style>
  <w:style w:type="paragraph" w:styleId="Naslov1">
    <w:name w:val="heading 1"/>
    <w:basedOn w:val="Navaden"/>
    <w:next w:val="Navaden"/>
    <w:link w:val="Naslov1Znak"/>
    <w:uiPriority w:val="9"/>
    <w:qFormat/>
    <w:rsid w:val="004D173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uiPriority w:val="9"/>
    <w:semiHidden/>
    <w:unhideWhenUsed/>
    <w:qFormat/>
    <w:rsid w:val="00702E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character" w:styleId="Hiperpovezava">
    <w:name w:val="Hyperlink"/>
    <w:uiPriority w:val="99"/>
    <w:unhideWhenUsed/>
    <w:rsid w:val="006805F1"/>
    <w:rPr>
      <w:strike w:val="0"/>
      <w:dstrike w:val="0"/>
      <w:color w:val="08519C"/>
      <w:u w:val="none"/>
      <w:effect w:val="none"/>
      <w:shd w:val="clear" w:color="auto" w:fill="auto"/>
    </w:rPr>
  </w:style>
  <w:style w:type="paragraph" w:styleId="Brezrazmikov">
    <w:name w:val="No Spacing"/>
    <w:qFormat/>
    <w:rsid w:val="006805F1"/>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B31C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CAF"/>
    <w:rPr>
      <w:rFonts w:ascii="Segoe UI" w:hAnsi="Segoe UI" w:cs="Segoe UI"/>
      <w:sz w:val="18"/>
      <w:szCs w:val="18"/>
    </w:rPr>
  </w:style>
  <w:style w:type="paragraph" w:styleId="Navadensplet">
    <w:name w:val="Normal (Web)"/>
    <w:basedOn w:val="Navaden"/>
    <w:uiPriority w:val="99"/>
    <w:unhideWhenUsed/>
    <w:rsid w:val="00370B04"/>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4D1733"/>
    <w:rPr>
      <w:b/>
      <w:bCs/>
    </w:rPr>
  </w:style>
  <w:style w:type="character" w:customStyle="1" w:styleId="Naslov1Znak">
    <w:name w:val="Naslov 1 Znak"/>
    <w:basedOn w:val="Privzetapisavaodstavka"/>
    <w:link w:val="Naslov1"/>
    <w:uiPriority w:val="9"/>
    <w:rsid w:val="004D1733"/>
    <w:rPr>
      <w:rFonts w:asciiTheme="majorHAnsi" w:eastAsiaTheme="majorEastAsia" w:hAnsiTheme="majorHAnsi" w:cstheme="majorBidi"/>
      <w:b/>
      <w:bCs/>
      <w:color w:val="2F5496" w:themeColor="accent1" w:themeShade="BF"/>
      <w:sz w:val="28"/>
      <w:szCs w:val="28"/>
      <w:lang w:val="sl-SI"/>
    </w:rPr>
  </w:style>
  <w:style w:type="paragraph" w:customStyle="1" w:styleId="bodytext">
    <w:name w:val="bodytext"/>
    <w:basedOn w:val="Navaden"/>
    <w:rsid w:val="00B06BB7"/>
    <w:pPr>
      <w:spacing w:before="100" w:beforeAutospacing="1" w:after="100" w:afterAutospacing="1"/>
    </w:pPr>
    <w:rPr>
      <w:rFonts w:ascii="Times New Roman" w:eastAsia="Times New Roman" w:hAnsi="Times New Roman" w:cs="Times New Roman"/>
      <w:lang w:eastAsia="sl-SI"/>
    </w:rPr>
  </w:style>
  <w:style w:type="character" w:styleId="Poudarek">
    <w:name w:val="Emphasis"/>
    <w:basedOn w:val="Privzetapisavaodstavka"/>
    <w:uiPriority w:val="20"/>
    <w:qFormat/>
    <w:rsid w:val="006B1300"/>
    <w:rPr>
      <w:i/>
      <w:iCs/>
    </w:rPr>
  </w:style>
  <w:style w:type="paragraph" w:customStyle="1" w:styleId="Odstavekseznama1">
    <w:name w:val="Odstavek seznama1"/>
    <w:basedOn w:val="Navaden"/>
    <w:qFormat/>
    <w:rsid w:val="00A670F1"/>
    <w:pPr>
      <w:spacing w:after="200" w:line="276" w:lineRule="auto"/>
      <w:ind w:left="720"/>
      <w:contextualSpacing/>
    </w:pPr>
    <w:rPr>
      <w:rFonts w:ascii="Calibri" w:eastAsia="SimSun" w:hAnsi="Calibri" w:cs="Times New Roman"/>
      <w:sz w:val="22"/>
      <w:szCs w:val="22"/>
      <w:lang w:eastAsia="zh-CN"/>
    </w:rPr>
  </w:style>
  <w:style w:type="character" w:customStyle="1" w:styleId="Naslov2Znak">
    <w:name w:val="Naslov 2 Znak"/>
    <w:basedOn w:val="Privzetapisavaodstavka"/>
    <w:link w:val="Naslov2"/>
    <w:uiPriority w:val="9"/>
    <w:semiHidden/>
    <w:rsid w:val="00702ED4"/>
    <w:rPr>
      <w:rFonts w:asciiTheme="majorHAnsi" w:eastAsiaTheme="majorEastAsia" w:hAnsiTheme="majorHAnsi" w:cstheme="majorBidi"/>
      <w:color w:val="2F5496" w:themeColor="accent1" w:themeShade="BF"/>
      <w:sz w:val="26"/>
      <w:szCs w:val="26"/>
      <w:lang w:val="sl-SI"/>
    </w:rPr>
  </w:style>
  <w:style w:type="character" w:styleId="Nerazreenaomemba">
    <w:name w:val="Unresolved Mention"/>
    <w:basedOn w:val="Privzetapisavaodstavka"/>
    <w:uiPriority w:val="99"/>
    <w:semiHidden/>
    <w:unhideWhenUsed/>
    <w:rsid w:val="00EE0E8A"/>
    <w:rPr>
      <w:color w:val="605E5C"/>
      <w:shd w:val="clear" w:color="auto" w:fill="E1DFDD"/>
    </w:rPr>
  </w:style>
  <w:style w:type="paragraph" w:styleId="Odstavekseznama">
    <w:name w:val="List Paragraph"/>
    <w:basedOn w:val="Navaden"/>
    <w:uiPriority w:val="34"/>
    <w:qFormat/>
    <w:rsid w:val="005A339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673">
      <w:bodyDiv w:val="1"/>
      <w:marLeft w:val="0"/>
      <w:marRight w:val="0"/>
      <w:marTop w:val="0"/>
      <w:marBottom w:val="0"/>
      <w:divBdr>
        <w:top w:val="none" w:sz="0" w:space="0" w:color="auto"/>
        <w:left w:val="none" w:sz="0" w:space="0" w:color="auto"/>
        <w:bottom w:val="none" w:sz="0" w:space="0" w:color="auto"/>
        <w:right w:val="none" w:sz="0" w:space="0" w:color="auto"/>
      </w:divBdr>
    </w:div>
    <w:div w:id="10106816">
      <w:bodyDiv w:val="1"/>
      <w:marLeft w:val="0"/>
      <w:marRight w:val="0"/>
      <w:marTop w:val="0"/>
      <w:marBottom w:val="0"/>
      <w:divBdr>
        <w:top w:val="none" w:sz="0" w:space="0" w:color="auto"/>
        <w:left w:val="none" w:sz="0" w:space="0" w:color="auto"/>
        <w:bottom w:val="none" w:sz="0" w:space="0" w:color="auto"/>
        <w:right w:val="none" w:sz="0" w:space="0" w:color="auto"/>
      </w:divBdr>
    </w:div>
    <w:div w:id="151415259">
      <w:bodyDiv w:val="1"/>
      <w:marLeft w:val="0"/>
      <w:marRight w:val="0"/>
      <w:marTop w:val="0"/>
      <w:marBottom w:val="0"/>
      <w:divBdr>
        <w:top w:val="none" w:sz="0" w:space="0" w:color="auto"/>
        <w:left w:val="none" w:sz="0" w:space="0" w:color="auto"/>
        <w:bottom w:val="none" w:sz="0" w:space="0" w:color="auto"/>
        <w:right w:val="none" w:sz="0" w:space="0" w:color="auto"/>
      </w:divBdr>
    </w:div>
    <w:div w:id="413862729">
      <w:bodyDiv w:val="1"/>
      <w:marLeft w:val="0"/>
      <w:marRight w:val="0"/>
      <w:marTop w:val="0"/>
      <w:marBottom w:val="0"/>
      <w:divBdr>
        <w:top w:val="none" w:sz="0" w:space="0" w:color="auto"/>
        <w:left w:val="none" w:sz="0" w:space="0" w:color="auto"/>
        <w:bottom w:val="none" w:sz="0" w:space="0" w:color="auto"/>
        <w:right w:val="none" w:sz="0" w:space="0" w:color="auto"/>
      </w:divBdr>
    </w:div>
    <w:div w:id="631712605">
      <w:bodyDiv w:val="1"/>
      <w:marLeft w:val="0"/>
      <w:marRight w:val="0"/>
      <w:marTop w:val="0"/>
      <w:marBottom w:val="0"/>
      <w:divBdr>
        <w:top w:val="none" w:sz="0" w:space="0" w:color="auto"/>
        <w:left w:val="none" w:sz="0" w:space="0" w:color="auto"/>
        <w:bottom w:val="none" w:sz="0" w:space="0" w:color="auto"/>
        <w:right w:val="none" w:sz="0" w:space="0" w:color="auto"/>
      </w:divBdr>
    </w:div>
    <w:div w:id="721252697">
      <w:bodyDiv w:val="1"/>
      <w:marLeft w:val="0"/>
      <w:marRight w:val="0"/>
      <w:marTop w:val="0"/>
      <w:marBottom w:val="0"/>
      <w:divBdr>
        <w:top w:val="none" w:sz="0" w:space="0" w:color="auto"/>
        <w:left w:val="none" w:sz="0" w:space="0" w:color="auto"/>
        <w:bottom w:val="none" w:sz="0" w:space="0" w:color="auto"/>
        <w:right w:val="none" w:sz="0" w:space="0" w:color="auto"/>
      </w:divBdr>
    </w:div>
    <w:div w:id="982123477">
      <w:bodyDiv w:val="1"/>
      <w:marLeft w:val="0"/>
      <w:marRight w:val="0"/>
      <w:marTop w:val="0"/>
      <w:marBottom w:val="0"/>
      <w:divBdr>
        <w:top w:val="none" w:sz="0" w:space="0" w:color="auto"/>
        <w:left w:val="none" w:sz="0" w:space="0" w:color="auto"/>
        <w:bottom w:val="none" w:sz="0" w:space="0" w:color="auto"/>
        <w:right w:val="none" w:sz="0" w:space="0" w:color="auto"/>
      </w:divBdr>
      <w:divsChild>
        <w:div w:id="2146700466">
          <w:marLeft w:val="0"/>
          <w:marRight w:val="0"/>
          <w:marTop w:val="0"/>
          <w:marBottom w:val="150"/>
          <w:divBdr>
            <w:top w:val="none" w:sz="0" w:space="0" w:color="auto"/>
            <w:left w:val="none" w:sz="0" w:space="0" w:color="auto"/>
            <w:bottom w:val="none" w:sz="0" w:space="0" w:color="auto"/>
            <w:right w:val="none" w:sz="0" w:space="0" w:color="auto"/>
          </w:divBdr>
        </w:div>
        <w:div w:id="510333858">
          <w:marLeft w:val="0"/>
          <w:marRight w:val="0"/>
          <w:marTop w:val="0"/>
          <w:marBottom w:val="150"/>
          <w:divBdr>
            <w:top w:val="none" w:sz="0" w:space="0" w:color="auto"/>
            <w:left w:val="none" w:sz="0" w:space="0" w:color="auto"/>
            <w:bottom w:val="none" w:sz="0" w:space="0" w:color="auto"/>
            <w:right w:val="none" w:sz="0" w:space="0" w:color="auto"/>
          </w:divBdr>
        </w:div>
      </w:divsChild>
    </w:div>
    <w:div w:id="1029379298">
      <w:bodyDiv w:val="1"/>
      <w:marLeft w:val="0"/>
      <w:marRight w:val="0"/>
      <w:marTop w:val="0"/>
      <w:marBottom w:val="0"/>
      <w:divBdr>
        <w:top w:val="none" w:sz="0" w:space="0" w:color="auto"/>
        <w:left w:val="none" w:sz="0" w:space="0" w:color="auto"/>
        <w:bottom w:val="none" w:sz="0" w:space="0" w:color="auto"/>
        <w:right w:val="none" w:sz="0" w:space="0" w:color="auto"/>
      </w:divBdr>
    </w:div>
    <w:div w:id="1124931732">
      <w:bodyDiv w:val="1"/>
      <w:marLeft w:val="0"/>
      <w:marRight w:val="0"/>
      <w:marTop w:val="0"/>
      <w:marBottom w:val="0"/>
      <w:divBdr>
        <w:top w:val="none" w:sz="0" w:space="0" w:color="auto"/>
        <w:left w:val="none" w:sz="0" w:space="0" w:color="auto"/>
        <w:bottom w:val="none" w:sz="0" w:space="0" w:color="auto"/>
        <w:right w:val="none" w:sz="0" w:space="0" w:color="auto"/>
      </w:divBdr>
    </w:div>
    <w:div w:id="1641493387">
      <w:bodyDiv w:val="1"/>
      <w:marLeft w:val="0"/>
      <w:marRight w:val="0"/>
      <w:marTop w:val="0"/>
      <w:marBottom w:val="0"/>
      <w:divBdr>
        <w:top w:val="none" w:sz="0" w:space="0" w:color="auto"/>
        <w:left w:val="none" w:sz="0" w:space="0" w:color="auto"/>
        <w:bottom w:val="none" w:sz="0" w:space="0" w:color="auto"/>
        <w:right w:val="none" w:sz="0" w:space="0" w:color="auto"/>
      </w:divBdr>
    </w:div>
    <w:div w:id="2080666884">
      <w:bodyDiv w:val="1"/>
      <w:marLeft w:val="0"/>
      <w:marRight w:val="0"/>
      <w:marTop w:val="0"/>
      <w:marBottom w:val="0"/>
      <w:divBdr>
        <w:top w:val="none" w:sz="0" w:space="0" w:color="auto"/>
        <w:left w:val="none" w:sz="0" w:space="0" w:color="auto"/>
        <w:bottom w:val="none" w:sz="0" w:space="0" w:color="auto"/>
        <w:right w:val="none" w:sz="0" w:space="0" w:color="auto"/>
      </w:divBdr>
    </w:div>
    <w:div w:id="2108961018">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03_SPOT_svetovanje_RS_EU_dodaten_logo_template</Template>
  <TotalTime>32</TotalTime>
  <Pages>2</Pages>
  <Words>816</Words>
  <Characters>4656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Klavdija Šemenc</cp:lastModifiedBy>
  <cp:revision>2</cp:revision>
  <cp:lastPrinted>2020-03-17T07:10:00Z</cp:lastPrinted>
  <dcterms:created xsi:type="dcterms:W3CDTF">2020-06-01T08:39:00Z</dcterms:created>
  <dcterms:modified xsi:type="dcterms:W3CDTF">2020-06-01T08:39:00Z</dcterms:modified>
</cp:coreProperties>
</file>