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D7F" w:rsidRPr="00860D6B" w:rsidRDefault="00DB6D7F" w:rsidP="00DB6D7F">
      <w:pPr>
        <w:rPr>
          <w:rFonts w:ascii="Arial" w:hAnsi="Arial" w:cs="Arial"/>
          <w:b/>
          <w:sz w:val="28"/>
          <w:szCs w:val="28"/>
        </w:rPr>
      </w:pPr>
      <w:r w:rsidRPr="00860D6B">
        <w:rPr>
          <w:rFonts w:ascii="Arial" w:hAnsi="Arial" w:cs="Arial"/>
          <w:b/>
          <w:sz w:val="28"/>
          <w:szCs w:val="28"/>
        </w:rPr>
        <w:t>Približuje se rok za oddajo letnih poročil!</w:t>
      </w:r>
    </w:p>
    <w:p w:rsidR="00860D6B" w:rsidRDefault="00860D6B"/>
    <w:p w:rsidR="00860D6B" w:rsidRDefault="00860D6B">
      <w:r>
        <w:rPr>
          <w:rFonts w:eastAsia="Times New Roman"/>
          <w:noProof/>
          <w:color w:val="0000FF"/>
          <w:lang w:eastAsia="sl-SI"/>
        </w:rPr>
        <w:drawing>
          <wp:inline distT="0" distB="0" distL="0" distR="0">
            <wp:extent cx="5711825" cy="2381250"/>
            <wp:effectExtent l="0" t="0" r="3175" b="0"/>
            <wp:docPr id="4" name="Slika 4" descr="Približuje se rok za oddajo letnih poročil!">
              <a:hlinkClick xmlns:a="http://schemas.openxmlformats.org/drawingml/2006/main" r:id="rId6" tgtFrame="_blank" tooltip="Približuje se rok&#10;za oddajo letnih poroč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ibližuje se rok za oddajo letnih poroč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1825" cy="2381250"/>
                    </a:xfrm>
                    <a:prstGeom prst="rect">
                      <a:avLst/>
                    </a:prstGeom>
                    <a:noFill/>
                    <a:ln>
                      <a:noFill/>
                    </a:ln>
                  </pic:spPr>
                </pic:pic>
              </a:graphicData>
            </a:graphic>
          </wp:inline>
        </w:drawing>
      </w:r>
    </w:p>
    <w:p w:rsidR="00860D6B" w:rsidRDefault="00860D6B" w:rsidP="00860D6B"/>
    <w:p w:rsidR="0002376A" w:rsidRPr="006D29EC" w:rsidRDefault="0002376A" w:rsidP="00860D6B">
      <w:pPr>
        <w:rPr>
          <w:rFonts w:ascii="Arial" w:hAnsi="Arial" w:cs="Arial"/>
          <w:b/>
          <w:sz w:val="24"/>
          <w:szCs w:val="24"/>
        </w:rPr>
      </w:pPr>
      <w:r w:rsidRPr="006D29EC">
        <w:rPr>
          <w:rFonts w:ascii="Arial" w:hAnsi="Arial" w:cs="Arial"/>
          <w:b/>
          <w:sz w:val="24"/>
          <w:szCs w:val="24"/>
        </w:rPr>
        <w:t xml:space="preserve">Približuje se rok za oddajo podatkov iz letnih poročil za leto 2019. </w:t>
      </w:r>
      <w:r w:rsidR="00CA7414" w:rsidRPr="006D29EC">
        <w:rPr>
          <w:rFonts w:ascii="Arial" w:hAnsi="Arial" w:cs="Arial"/>
          <w:b/>
          <w:sz w:val="24"/>
          <w:szCs w:val="24"/>
        </w:rPr>
        <w:t xml:space="preserve">V SaŠa regiji je za predložitev zavezanih </w:t>
      </w:r>
      <w:r w:rsidR="002D0A1B">
        <w:rPr>
          <w:rFonts w:ascii="Arial" w:hAnsi="Arial" w:cs="Arial"/>
          <w:b/>
          <w:sz w:val="24"/>
          <w:szCs w:val="24"/>
        </w:rPr>
        <w:t>3.648</w:t>
      </w:r>
      <w:r w:rsidR="00CA7414" w:rsidRPr="006D29EC">
        <w:rPr>
          <w:rFonts w:ascii="Arial" w:hAnsi="Arial" w:cs="Arial"/>
          <w:b/>
          <w:sz w:val="24"/>
          <w:szCs w:val="24"/>
        </w:rPr>
        <w:t xml:space="preserve"> poslovnih subjektov. </w:t>
      </w:r>
    </w:p>
    <w:p w:rsidR="00CA7414" w:rsidRDefault="00CA7414" w:rsidP="00860D6B">
      <w:pPr>
        <w:rPr>
          <w:rFonts w:ascii="Arial" w:hAnsi="Arial" w:cs="Arial"/>
          <w:sz w:val="24"/>
          <w:szCs w:val="24"/>
        </w:rPr>
      </w:pPr>
    </w:p>
    <w:p w:rsidR="0052497E" w:rsidRDefault="00CA7414" w:rsidP="00860D6B">
      <w:pPr>
        <w:rPr>
          <w:rFonts w:ascii="Arial" w:hAnsi="Arial" w:cs="Arial"/>
          <w:sz w:val="24"/>
          <w:szCs w:val="24"/>
        </w:rPr>
      </w:pPr>
      <w:r>
        <w:rPr>
          <w:rFonts w:ascii="Arial" w:hAnsi="Arial" w:cs="Arial"/>
          <w:sz w:val="24"/>
          <w:szCs w:val="24"/>
        </w:rPr>
        <w:t xml:space="preserve">Zakonsko predpisan rok predložitve podatkov iz letnega poročila za namen državne statistike in v </w:t>
      </w:r>
      <w:r w:rsidR="0061617D">
        <w:rPr>
          <w:rFonts w:ascii="Arial" w:hAnsi="Arial" w:cs="Arial"/>
          <w:sz w:val="24"/>
          <w:szCs w:val="24"/>
        </w:rPr>
        <w:t>nekaterih</w:t>
      </w:r>
      <w:r>
        <w:rPr>
          <w:rFonts w:ascii="Arial" w:hAnsi="Arial" w:cs="Arial"/>
          <w:sz w:val="24"/>
          <w:szCs w:val="24"/>
        </w:rPr>
        <w:t xml:space="preserve"> primer</w:t>
      </w:r>
      <w:r w:rsidR="0061617D">
        <w:rPr>
          <w:rFonts w:ascii="Arial" w:hAnsi="Arial" w:cs="Arial"/>
          <w:sz w:val="24"/>
          <w:szCs w:val="24"/>
        </w:rPr>
        <w:t>ih</w:t>
      </w:r>
      <w:r>
        <w:rPr>
          <w:rFonts w:ascii="Arial" w:hAnsi="Arial" w:cs="Arial"/>
          <w:sz w:val="24"/>
          <w:szCs w:val="24"/>
        </w:rPr>
        <w:t xml:space="preserve"> tudi za namen javne objave se za </w:t>
      </w:r>
      <w:bookmarkStart w:id="0" w:name="_Hlk34653177"/>
      <w:r>
        <w:rPr>
          <w:rFonts w:ascii="Arial" w:hAnsi="Arial" w:cs="Arial"/>
          <w:sz w:val="24"/>
          <w:szCs w:val="24"/>
        </w:rPr>
        <w:t xml:space="preserve">gospodarske </w:t>
      </w:r>
      <w:r w:rsidR="00860D6B" w:rsidRPr="00860D6B">
        <w:rPr>
          <w:rFonts w:ascii="Arial" w:hAnsi="Arial" w:cs="Arial"/>
          <w:sz w:val="24"/>
          <w:szCs w:val="24"/>
        </w:rPr>
        <w:t>družbe</w:t>
      </w:r>
      <w:bookmarkEnd w:id="0"/>
      <w:r w:rsidR="00860D6B" w:rsidRPr="00860D6B">
        <w:rPr>
          <w:rFonts w:ascii="Arial" w:hAnsi="Arial" w:cs="Arial"/>
          <w:sz w:val="24"/>
          <w:szCs w:val="24"/>
        </w:rPr>
        <w:t xml:space="preserve">, </w:t>
      </w:r>
      <w:r>
        <w:rPr>
          <w:rFonts w:ascii="Arial" w:hAnsi="Arial" w:cs="Arial"/>
          <w:sz w:val="24"/>
          <w:szCs w:val="24"/>
        </w:rPr>
        <w:t xml:space="preserve">samostojne </w:t>
      </w:r>
      <w:r w:rsidRPr="00860D6B">
        <w:rPr>
          <w:rFonts w:ascii="Arial" w:hAnsi="Arial" w:cs="Arial"/>
          <w:sz w:val="24"/>
          <w:szCs w:val="24"/>
        </w:rPr>
        <w:t>podjetnik</w:t>
      </w:r>
      <w:r>
        <w:rPr>
          <w:rFonts w:ascii="Arial" w:hAnsi="Arial" w:cs="Arial"/>
          <w:sz w:val="24"/>
          <w:szCs w:val="24"/>
        </w:rPr>
        <w:t>e,</w:t>
      </w:r>
      <w:r w:rsidRPr="00860D6B">
        <w:rPr>
          <w:rFonts w:ascii="Arial" w:hAnsi="Arial" w:cs="Arial"/>
          <w:sz w:val="24"/>
          <w:szCs w:val="24"/>
        </w:rPr>
        <w:t xml:space="preserve"> </w:t>
      </w:r>
      <w:r w:rsidR="00860D6B" w:rsidRPr="00860D6B">
        <w:rPr>
          <w:rFonts w:ascii="Arial" w:hAnsi="Arial" w:cs="Arial"/>
          <w:sz w:val="24"/>
          <w:szCs w:val="24"/>
        </w:rPr>
        <w:t xml:space="preserve">zadruge, društva in politične stranke </w:t>
      </w:r>
      <w:r>
        <w:rPr>
          <w:rFonts w:ascii="Arial" w:hAnsi="Arial" w:cs="Arial"/>
          <w:sz w:val="24"/>
          <w:szCs w:val="24"/>
        </w:rPr>
        <w:t xml:space="preserve">izteče v torek, 31. 3. 2020, ob polnoči. </w:t>
      </w:r>
      <w:r w:rsidR="0052497E">
        <w:rPr>
          <w:rFonts w:ascii="Arial" w:hAnsi="Arial" w:cs="Arial"/>
          <w:sz w:val="24"/>
          <w:szCs w:val="24"/>
        </w:rPr>
        <w:t>Isto velja za p</w:t>
      </w:r>
      <w:r>
        <w:rPr>
          <w:rFonts w:ascii="Arial" w:hAnsi="Arial" w:cs="Arial"/>
          <w:sz w:val="24"/>
          <w:szCs w:val="24"/>
        </w:rPr>
        <w:t xml:space="preserve">rostovoljske </w:t>
      </w:r>
      <w:r w:rsidR="0052497E">
        <w:rPr>
          <w:rFonts w:ascii="Arial" w:hAnsi="Arial" w:cs="Arial"/>
          <w:sz w:val="24"/>
          <w:szCs w:val="24"/>
        </w:rPr>
        <w:t xml:space="preserve">organizacije (gospodarske </w:t>
      </w:r>
      <w:r w:rsidR="0052497E" w:rsidRPr="00860D6B">
        <w:rPr>
          <w:rFonts w:ascii="Arial" w:hAnsi="Arial" w:cs="Arial"/>
          <w:sz w:val="24"/>
          <w:szCs w:val="24"/>
        </w:rPr>
        <w:t>družbe</w:t>
      </w:r>
      <w:r w:rsidR="0052497E">
        <w:rPr>
          <w:rFonts w:ascii="Arial" w:hAnsi="Arial" w:cs="Arial"/>
          <w:sz w:val="24"/>
          <w:szCs w:val="24"/>
        </w:rPr>
        <w:t xml:space="preserve">, </w:t>
      </w:r>
      <w:r w:rsidR="0052497E" w:rsidRPr="0052497E">
        <w:rPr>
          <w:rFonts w:ascii="Arial" w:hAnsi="Arial" w:cs="Arial"/>
          <w:sz w:val="24"/>
          <w:szCs w:val="24"/>
        </w:rPr>
        <w:t>zadruge</w:t>
      </w:r>
      <w:r w:rsidR="0052497E">
        <w:rPr>
          <w:rFonts w:ascii="Arial" w:hAnsi="Arial" w:cs="Arial"/>
          <w:sz w:val="24"/>
          <w:szCs w:val="24"/>
        </w:rPr>
        <w:t xml:space="preserve"> in </w:t>
      </w:r>
      <w:r w:rsidR="0052497E" w:rsidRPr="0052497E">
        <w:rPr>
          <w:rFonts w:ascii="Arial" w:hAnsi="Arial" w:cs="Arial"/>
          <w:sz w:val="24"/>
          <w:szCs w:val="24"/>
        </w:rPr>
        <w:t>društva</w:t>
      </w:r>
      <w:r w:rsidR="0052497E">
        <w:rPr>
          <w:rFonts w:ascii="Arial" w:hAnsi="Arial" w:cs="Arial"/>
          <w:sz w:val="24"/>
          <w:szCs w:val="24"/>
        </w:rPr>
        <w:t xml:space="preserve">), ki morajo predložiti tudi poročila o prostovoljstvu za leto 2019. </w:t>
      </w:r>
      <w:r w:rsidR="008F56F5">
        <w:rPr>
          <w:rFonts w:ascii="Arial" w:hAnsi="Arial" w:cs="Arial"/>
          <w:sz w:val="24"/>
          <w:szCs w:val="24"/>
        </w:rPr>
        <w:t>Notarji, odvetniki,</w:t>
      </w:r>
      <w:r w:rsidR="002C1D65">
        <w:rPr>
          <w:rFonts w:ascii="Arial" w:hAnsi="Arial" w:cs="Arial"/>
          <w:sz w:val="24"/>
          <w:szCs w:val="24"/>
        </w:rPr>
        <w:t xml:space="preserve"> </w:t>
      </w:r>
      <w:r w:rsidR="008F56F5">
        <w:rPr>
          <w:rFonts w:ascii="Arial" w:hAnsi="Arial" w:cs="Arial"/>
          <w:sz w:val="24"/>
          <w:szCs w:val="24"/>
        </w:rPr>
        <w:t xml:space="preserve">samostojni zdravstveni in </w:t>
      </w:r>
      <w:r w:rsidR="002C1D65">
        <w:rPr>
          <w:rFonts w:ascii="Arial" w:hAnsi="Arial" w:cs="Arial"/>
          <w:sz w:val="24"/>
          <w:szCs w:val="24"/>
        </w:rPr>
        <w:t>kulturni delavci, športniki, novinarji, nekateri drugi poslovni subjekti in civilna združenja niso ustanovljeni kot pravne osebe oziroma nimajo statusa samostojnega podjetnika, zato niso zavezani za predložitev letnega poročila AJPES.</w:t>
      </w:r>
      <w:r w:rsidR="0052497E">
        <w:rPr>
          <w:rFonts w:ascii="Arial" w:hAnsi="Arial" w:cs="Arial"/>
          <w:sz w:val="24"/>
          <w:szCs w:val="24"/>
        </w:rPr>
        <w:t xml:space="preserve"> </w:t>
      </w:r>
    </w:p>
    <w:p w:rsidR="0052497E" w:rsidRDefault="0052497E" w:rsidP="00860D6B">
      <w:pPr>
        <w:rPr>
          <w:rFonts w:ascii="Arial" w:hAnsi="Arial" w:cs="Arial"/>
          <w:sz w:val="24"/>
          <w:szCs w:val="24"/>
        </w:rPr>
      </w:pPr>
    </w:p>
    <w:p w:rsidR="00CA7414" w:rsidRDefault="0052497E" w:rsidP="00860D6B">
      <w:pPr>
        <w:rPr>
          <w:rFonts w:ascii="Arial" w:hAnsi="Arial" w:cs="Arial"/>
          <w:sz w:val="24"/>
          <w:szCs w:val="24"/>
        </w:rPr>
      </w:pPr>
      <w:r>
        <w:rPr>
          <w:rFonts w:ascii="Arial" w:hAnsi="Arial" w:cs="Arial"/>
          <w:sz w:val="24"/>
          <w:szCs w:val="24"/>
        </w:rPr>
        <w:t>A</w:t>
      </w:r>
      <w:r w:rsidR="00CA7414">
        <w:rPr>
          <w:rFonts w:ascii="Arial" w:hAnsi="Arial" w:cs="Arial"/>
          <w:sz w:val="24"/>
          <w:szCs w:val="24"/>
        </w:rPr>
        <w:t>plikacija</w:t>
      </w:r>
      <w:r w:rsidR="0057484E">
        <w:rPr>
          <w:rFonts w:ascii="Arial" w:hAnsi="Arial" w:cs="Arial"/>
          <w:sz w:val="24"/>
          <w:szCs w:val="24"/>
        </w:rPr>
        <w:t xml:space="preserve"> za vnos podatkov iz letnih poročil je uporabnikom na voljo že od 14. 1. 2020, zato vabimo vse zavezance, da obveznost čim prej izpolnijo. Zoper vse poslovne subjekte, ki letnega poročila za leto 2019 ne bodo predložili do zakonsko določenega roka, bo AJPES na podlagi Zakona o plačilnem prometu in materialnih predpisov uvedel </w:t>
      </w:r>
      <w:proofErr w:type="spellStart"/>
      <w:r w:rsidR="0057484E">
        <w:rPr>
          <w:rFonts w:ascii="Arial" w:hAnsi="Arial" w:cs="Arial"/>
          <w:sz w:val="24"/>
          <w:szCs w:val="24"/>
        </w:rPr>
        <w:t>prekrškovni</w:t>
      </w:r>
      <w:proofErr w:type="spellEnd"/>
      <w:r w:rsidR="0057484E">
        <w:rPr>
          <w:rFonts w:ascii="Arial" w:hAnsi="Arial" w:cs="Arial"/>
          <w:sz w:val="24"/>
          <w:szCs w:val="24"/>
        </w:rPr>
        <w:t xml:space="preserve"> postopek.</w:t>
      </w:r>
    </w:p>
    <w:p w:rsidR="0057484E" w:rsidRDefault="0057484E" w:rsidP="00860D6B">
      <w:pPr>
        <w:rPr>
          <w:rFonts w:ascii="Arial" w:hAnsi="Arial" w:cs="Arial"/>
          <w:sz w:val="24"/>
          <w:szCs w:val="24"/>
        </w:rPr>
      </w:pPr>
    </w:p>
    <w:p w:rsidR="0057484E" w:rsidRDefault="0057484E" w:rsidP="00860D6B">
      <w:pPr>
        <w:rPr>
          <w:rFonts w:ascii="Arial" w:hAnsi="Arial" w:cs="Arial"/>
          <w:sz w:val="24"/>
          <w:szCs w:val="24"/>
        </w:rPr>
      </w:pPr>
      <w:r>
        <w:rPr>
          <w:rFonts w:ascii="Arial" w:hAnsi="Arial" w:cs="Arial"/>
          <w:sz w:val="24"/>
          <w:szCs w:val="24"/>
        </w:rPr>
        <w:t xml:space="preserve">V SaŠa regiji je </w:t>
      </w:r>
      <w:r w:rsidR="00DC5CBF">
        <w:rPr>
          <w:rFonts w:ascii="Arial" w:hAnsi="Arial" w:cs="Arial"/>
          <w:sz w:val="24"/>
          <w:szCs w:val="24"/>
        </w:rPr>
        <w:t>3.648</w:t>
      </w:r>
      <w:r>
        <w:rPr>
          <w:rFonts w:ascii="Arial" w:hAnsi="Arial" w:cs="Arial"/>
          <w:sz w:val="24"/>
          <w:szCs w:val="24"/>
        </w:rPr>
        <w:t xml:space="preserve"> poslovnih subjektov, ki so zavezani za predložitev letnega poročila in </w:t>
      </w:r>
      <w:r w:rsidR="00DC5CBF">
        <w:rPr>
          <w:rFonts w:ascii="Arial" w:hAnsi="Arial" w:cs="Arial"/>
          <w:sz w:val="24"/>
          <w:szCs w:val="24"/>
        </w:rPr>
        <w:t>889</w:t>
      </w:r>
      <w:r>
        <w:rPr>
          <w:rFonts w:ascii="Arial" w:hAnsi="Arial" w:cs="Arial"/>
          <w:sz w:val="24"/>
          <w:szCs w:val="24"/>
        </w:rPr>
        <w:t xml:space="preserve"> podjetnikov, ki ugotavljajo davčno osnovo za davek od dohodka</w:t>
      </w:r>
      <w:r w:rsidR="009A763E">
        <w:rPr>
          <w:rFonts w:ascii="Arial" w:hAnsi="Arial" w:cs="Arial"/>
          <w:sz w:val="24"/>
          <w:szCs w:val="24"/>
        </w:rPr>
        <w:t xml:space="preserve"> iz dejavnosti z upoštevanjem normiranih odhodkov (</w:t>
      </w:r>
      <w:proofErr w:type="spellStart"/>
      <w:r w:rsidR="009A763E">
        <w:rPr>
          <w:rFonts w:ascii="Arial" w:hAnsi="Arial" w:cs="Arial"/>
          <w:sz w:val="24"/>
          <w:szCs w:val="24"/>
        </w:rPr>
        <w:t>normiranci</w:t>
      </w:r>
      <w:proofErr w:type="spellEnd"/>
      <w:r w:rsidR="009A763E">
        <w:rPr>
          <w:rFonts w:ascii="Arial" w:hAnsi="Arial" w:cs="Arial"/>
          <w:sz w:val="24"/>
          <w:szCs w:val="24"/>
        </w:rPr>
        <w:t xml:space="preserve">). </w:t>
      </w:r>
    </w:p>
    <w:p w:rsidR="009A763E" w:rsidRDefault="009A763E" w:rsidP="009A763E">
      <w:pPr>
        <w:rPr>
          <w:rFonts w:ascii="Arial" w:eastAsia="Times New Roman" w:hAnsi="Arial" w:cstheme="minorHAnsi"/>
          <w:b/>
          <w:bCs/>
          <w:sz w:val="28"/>
          <w:szCs w:val="28"/>
        </w:rPr>
      </w:pPr>
    </w:p>
    <w:p w:rsidR="009A763E" w:rsidRPr="009A763E" w:rsidRDefault="009A763E" w:rsidP="009A763E">
      <w:pPr>
        <w:rPr>
          <w:rFonts w:ascii="Arial" w:eastAsia="Times New Roman" w:hAnsi="Arial" w:cstheme="minorHAnsi"/>
          <w:b/>
          <w:bCs/>
          <w:sz w:val="24"/>
          <w:szCs w:val="24"/>
        </w:rPr>
      </w:pPr>
      <w:r w:rsidRPr="009A763E">
        <w:rPr>
          <w:rFonts w:ascii="Arial" w:eastAsia="Times New Roman" w:hAnsi="Arial" w:cstheme="minorHAnsi"/>
          <w:b/>
          <w:bCs/>
          <w:sz w:val="24"/>
          <w:szCs w:val="24"/>
        </w:rPr>
        <w:t xml:space="preserve">Kako lahko pridobim bonitetno oceno, če sem samostojni podjetnik – </w:t>
      </w:r>
      <w:proofErr w:type="spellStart"/>
      <w:r w:rsidRPr="009A763E">
        <w:rPr>
          <w:rFonts w:ascii="Arial" w:eastAsia="Times New Roman" w:hAnsi="Arial" w:cstheme="minorHAnsi"/>
          <w:b/>
          <w:bCs/>
          <w:sz w:val="24"/>
          <w:szCs w:val="24"/>
        </w:rPr>
        <w:t>normiranec</w:t>
      </w:r>
      <w:proofErr w:type="spellEnd"/>
      <w:r w:rsidRPr="009A763E">
        <w:rPr>
          <w:rFonts w:ascii="Arial" w:eastAsia="Times New Roman" w:hAnsi="Arial" w:cstheme="minorHAnsi"/>
          <w:b/>
          <w:bCs/>
          <w:sz w:val="24"/>
          <w:szCs w:val="24"/>
        </w:rPr>
        <w:t>?</w:t>
      </w:r>
    </w:p>
    <w:p w:rsidR="009A763E" w:rsidRPr="009A763E" w:rsidRDefault="009A763E" w:rsidP="009A763E">
      <w:pPr>
        <w:rPr>
          <w:rFonts w:ascii="Arial" w:eastAsia="Times New Roman" w:hAnsi="Arial" w:cstheme="minorHAnsi"/>
          <w:sz w:val="24"/>
          <w:szCs w:val="24"/>
        </w:rPr>
      </w:pPr>
    </w:p>
    <w:p w:rsidR="009A763E" w:rsidRPr="009A763E" w:rsidRDefault="009A763E" w:rsidP="009A763E">
      <w:pPr>
        <w:rPr>
          <w:rFonts w:ascii="Arial" w:eastAsia="Times New Roman" w:hAnsi="Arial" w:cstheme="minorHAnsi"/>
          <w:bCs/>
          <w:sz w:val="24"/>
          <w:szCs w:val="24"/>
        </w:rPr>
      </w:pPr>
      <w:r w:rsidRPr="009A763E">
        <w:rPr>
          <w:rFonts w:ascii="Arial" w:eastAsia="Times New Roman" w:hAnsi="Arial" w:cstheme="minorHAnsi"/>
          <w:sz w:val="24"/>
          <w:szCs w:val="24"/>
        </w:rPr>
        <w:t xml:space="preserve">Bonitetna ocena pridobiva vse večji pomen in je pogosto določena kot vstopni pogoj pri kandidiranju na javnih razpisih. Uporablja se za </w:t>
      </w:r>
      <w:r w:rsidRPr="009A763E">
        <w:rPr>
          <w:rFonts w:ascii="Arial" w:eastAsia="Times New Roman" w:hAnsi="Arial" w:cstheme="minorHAnsi"/>
          <w:bCs/>
          <w:sz w:val="24"/>
          <w:szCs w:val="24"/>
        </w:rPr>
        <w:t>preverjanje ekonomsko-finančne sposobnosti ponudnikov v postopkih javnega naročanja in je nepogrešljiva pri celovitem spremljanju kreditnega tveganja obstoječih in potencialnih poslovnih partnerjev.</w:t>
      </w:r>
    </w:p>
    <w:p w:rsidR="009A763E" w:rsidRPr="009A763E" w:rsidRDefault="009A763E" w:rsidP="009A763E">
      <w:pPr>
        <w:rPr>
          <w:rFonts w:ascii="Arial" w:eastAsia="Times New Roman" w:hAnsi="Arial" w:cstheme="minorHAnsi"/>
          <w:sz w:val="24"/>
          <w:szCs w:val="24"/>
        </w:rPr>
      </w:pPr>
    </w:p>
    <w:p w:rsidR="009A763E" w:rsidRPr="009A763E" w:rsidRDefault="009A763E" w:rsidP="009A763E">
      <w:pPr>
        <w:rPr>
          <w:rFonts w:ascii="Arial" w:eastAsia="Times New Roman" w:hAnsi="Arial" w:cstheme="minorHAnsi"/>
          <w:b/>
          <w:bCs/>
          <w:sz w:val="24"/>
          <w:szCs w:val="24"/>
        </w:rPr>
      </w:pPr>
      <w:r w:rsidRPr="009A763E">
        <w:rPr>
          <w:rFonts w:ascii="Arial" w:eastAsia="Times New Roman" w:hAnsi="Arial" w:cstheme="minorHAnsi"/>
          <w:sz w:val="24"/>
          <w:szCs w:val="24"/>
        </w:rPr>
        <w:lastRenderedPageBreak/>
        <w:t xml:space="preserve">Pri podjetnikih, ki svojo davčno osnovo ugotavljajo z upoštevanjem dejanskih prihodkov in normiranih odhodkov (samostojni podjetniki - </w:t>
      </w:r>
      <w:proofErr w:type="spellStart"/>
      <w:r w:rsidRPr="009A763E">
        <w:rPr>
          <w:rFonts w:ascii="Arial" w:eastAsia="Times New Roman" w:hAnsi="Arial" w:cstheme="minorHAnsi"/>
          <w:sz w:val="24"/>
          <w:szCs w:val="24"/>
        </w:rPr>
        <w:t>normiranci</w:t>
      </w:r>
      <w:proofErr w:type="spellEnd"/>
      <w:r w:rsidRPr="009A763E">
        <w:rPr>
          <w:rFonts w:ascii="Arial" w:eastAsia="Times New Roman" w:hAnsi="Arial" w:cstheme="minorHAnsi"/>
          <w:sz w:val="24"/>
          <w:szCs w:val="24"/>
        </w:rPr>
        <w:t xml:space="preserve">) in svojih letnih poročil v skladu z Zakonom o gospodarskih družbah (ZGD-1) niso dolžni predložiti AJPES, pa se pojavi težava, saj bonitetne ocene brez podatkov iz predloženega letnega poročila ni mogoče izračunati. </w:t>
      </w:r>
    </w:p>
    <w:p w:rsidR="009A763E" w:rsidRPr="009A763E" w:rsidRDefault="009A763E" w:rsidP="009A763E">
      <w:pPr>
        <w:rPr>
          <w:rFonts w:ascii="Arial" w:eastAsia="Times New Roman" w:hAnsi="Arial" w:cstheme="minorHAnsi"/>
          <w:sz w:val="24"/>
          <w:szCs w:val="24"/>
        </w:rPr>
      </w:pPr>
    </w:p>
    <w:p w:rsidR="009A763E" w:rsidRPr="009A763E" w:rsidRDefault="009A763E" w:rsidP="009A763E">
      <w:pPr>
        <w:rPr>
          <w:rFonts w:ascii="Arial" w:eastAsia="Times New Roman" w:hAnsi="Arial" w:cstheme="minorHAnsi"/>
          <w:color w:val="0000FF"/>
          <w:sz w:val="24"/>
          <w:szCs w:val="24"/>
          <w:u w:val="single"/>
        </w:rPr>
      </w:pPr>
      <w:r w:rsidRPr="009A763E">
        <w:rPr>
          <w:rFonts w:ascii="Arial" w:eastAsia="Times New Roman" w:hAnsi="Arial" w:cstheme="minorHAnsi"/>
          <w:sz w:val="24"/>
          <w:szCs w:val="24"/>
        </w:rPr>
        <w:t xml:space="preserve">AJPES lahko samostojnemu podjetniku - </w:t>
      </w:r>
      <w:proofErr w:type="spellStart"/>
      <w:r w:rsidRPr="009A763E">
        <w:rPr>
          <w:rFonts w:ascii="Arial" w:eastAsia="Times New Roman" w:hAnsi="Arial" w:cstheme="minorHAnsi"/>
          <w:sz w:val="24"/>
          <w:szCs w:val="24"/>
        </w:rPr>
        <w:t>normirancu</w:t>
      </w:r>
      <w:proofErr w:type="spellEnd"/>
      <w:r w:rsidRPr="009A763E">
        <w:rPr>
          <w:rFonts w:ascii="Arial" w:eastAsia="Times New Roman" w:hAnsi="Arial" w:cstheme="minorHAnsi"/>
          <w:sz w:val="24"/>
          <w:szCs w:val="24"/>
        </w:rPr>
        <w:t xml:space="preserve"> izdela bonitetno oceno </w:t>
      </w:r>
      <w:r w:rsidRPr="009A763E">
        <w:rPr>
          <w:rFonts w:ascii="Arial" w:eastAsia="Times New Roman" w:hAnsi="Arial" w:cstheme="minorHAnsi"/>
          <w:bCs/>
          <w:sz w:val="24"/>
          <w:szCs w:val="24"/>
        </w:rPr>
        <w:t>pod pogojem, da</w:t>
      </w:r>
      <w:r w:rsidRPr="009A763E">
        <w:rPr>
          <w:rFonts w:ascii="Arial" w:eastAsia="Times New Roman" w:hAnsi="Arial" w:cstheme="minorHAnsi"/>
          <w:b/>
          <w:bCs/>
          <w:sz w:val="24"/>
          <w:szCs w:val="24"/>
        </w:rPr>
        <w:t xml:space="preserve"> </w:t>
      </w:r>
      <w:r w:rsidRPr="009A763E">
        <w:rPr>
          <w:rFonts w:ascii="Arial" w:eastAsia="Times New Roman" w:hAnsi="Arial" w:cstheme="minorHAnsi"/>
          <w:bCs/>
          <w:sz w:val="24"/>
          <w:szCs w:val="24"/>
        </w:rPr>
        <w:t>le-ta</w:t>
      </w:r>
      <w:r w:rsidRPr="009A763E">
        <w:rPr>
          <w:rFonts w:ascii="Arial" w:eastAsia="Times New Roman" w:hAnsi="Arial" w:cstheme="minorHAnsi"/>
          <w:b/>
          <w:bCs/>
          <w:sz w:val="24"/>
          <w:szCs w:val="24"/>
        </w:rPr>
        <w:t xml:space="preserve"> do roka za oddajo letnih poročil (najkasneje do konca meseca marca za preteklo leto) </w:t>
      </w:r>
      <w:r w:rsidRPr="009A763E">
        <w:rPr>
          <w:rFonts w:ascii="Arial" w:eastAsia="Times New Roman" w:hAnsi="Arial" w:cstheme="minorHAnsi"/>
          <w:bCs/>
          <w:sz w:val="24"/>
          <w:szCs w:val="24"/>
        </w:rPr>
        <w:t xml:space="preserve">pošlje pristojni izpostavi AJPES pisno vlogo oziroma obvestilo, da posluje kot </w:t>
      </w:r>
      <w:proofErr w:type="spellStart"/>
      <w:r w:rsidRPr="009A763E">
        <w:rPr>
          <w:rFonts w:ascii="Arial" w:eastAsia="Times New Roman" w:hAnsi="Arial" w:cstheme="minorHAnsi"/>
          <w:bCs/>
          <w:sz w:val="24"/>
          <w:szCs w:val="24"/>
        </w:rPr>
        <w:t>normiranec</w:t>
      </w:r>
      <w:proofErr w:type="spellEnd"/>
      <w:r w:rsidRPr="009A763E">
        <w:rPr>
          <w:rFonts w:ascii="Arial" w:eastAsia="Times New Roman" w:hAnsi="Arial" w:cstheme="minorHAnsi"/>
          <w:bCs/>
          <w:sz w:val="24"/>
          <w:szCs w:val="24"/>
        </w:rPr>
        <w:t xml:space="preserve"> in da kljub temu želi oddati letno poročilo za preteklo poslovno leto.</w:t>
      </w:r>
      <w:r w:rsidR="00FF514B">
        <w:rPr>
          <w:rFonts w:ascii="Arial" w:eastAsia="Times New Roman" w:hAnsi="Arial" w:cstheme="minorHAnsi"/>
          <w:bCs/>
          <w:sz w:val="24"/>
          <w:szCs w:val="24"/>
        </w:rPr>
        <w:t xml:space="preserve"> </w:t>
      </w:r>
      <w:r w:rsidRPr="009A763E">
        <w:rPr>
          <w:rFonts w:ascii="Arial" w:eastAsia="Times New Roman" w:hAnsi="Arial" w:cstheme="minorHAnsi"/>
          <w:sz w:val="24"/>
          <w:szCs w:val="24"/>
        </w:rPr>
        <w:t xml:space="preserve">Bonitetne ocene na podlagi podatkov iz letnih poročil za preteklo leto se določijo vsako leto v mesecu maju in se med letom ažurirajo glede na razpoložljive podatke o poslovanju. </w:t>
      </w:r>
    </w:p>
    <w:p w:rsidR="009A763E" w:rsidRPr="009A763E" w:rsidRDefault="009A763E" w:rsidP="009A763E">
      <w:pPr>
        <w:rPr>
          <w:rFonts w:ascii="Arial" w:eastAsia="Times New Roman" w:hAnsi="Arial" w:cstheme="minorHAnsi"/>
          <w:sz w:val="24"/>
          <w:szCs w:val="24"/>
        </w:rPr>
      </w:pPr>
    </w:p>
    <w:p w:rsidR="008F56F5" w:rsidRDefault="009A763E" w:rsidP="009A763E">
      <w:pPr>
        <w:rPr>
          <w:rFonts w:ascii="Arial" w:eastAsia="Times New Roman" w:hAnsi="Arial" w:cstheme="minorHAnsi"/>
          <w:sz w:val="24"/>
          <w:szCs w:val="24"/>
        </w:rPr>
      </w:pPr>
      <w:r w:rsidRPr="009A763E">
        <w:rPr>
          <w:rFonts w:ascii="Arial" w:eastAsia="Times New Roman" w:hAnsi="Arial" w:cstheme="minorHAnsi"/>
          <w:sz w:val="24"/>
          <w:szCs w:val="24"/>
        </w:rPr>
        <w:t xml:space="preserve">Sicer pa vsi samostojni podjetniki, tudi </w:t>
      </w:r>
      <w:proofErr w:type="spellStart"/>
      <w:r w:rsidRPr="009A763E">
        <w:rPr>
          <w:rFonts w:ascii="Arial" w:eastAsia="Times New Roman" w:hAnsi="Arial" w:cstheme="minorHAnsi"/>
          <w:sz w:val="24"/>
          <w:szCs w:val="24"/>
        </w:rPr>
        <w:t>normiranci</w:t>
      </w:r>
      <w:proofErr w:type="spellEnd"/>
      <w:r w:rsidRPr="009A763E">
        <w:rPr>
          <w:rFonts w:ascii="Arial" w:eastAsia="Times New Roman" w:hAnsi="Arial" w:cstheme="minorHAnsi"/>
          <w:sz w:val="24"/>
          <w:szCs w:val="24"/>
        </w:rPr>
        <w:t>, lahko pridobijo informacijo o tekoči plačilni sposobnosti (bonitetno informacijo BON-2), ki vsebuje podatke o  obsegu poslovanja na poslovnih računih, znesku blokad ter številu dni z  blokiranim računom v zadnjih 6 mesecih in se uporablja za dokazovanje v postopkih javnega naročanja, pri nakupih ali za preverjanje realne možnosti poplačila zapadlih obveznosti njihovih dolžnikov.</w:t>
      </w:r>
    </w:p>
    <w:p w:rsidR="00152B4C" w:rsidRDefault="00152B4C" w:rsidP="009A763E">
      <w:pPr>
        <w:rPr>
          <w:rFonts w:ascii="Arial" w:eastAsia="Times New Roman" w:hAnsi="Arial" w:cstheme="minorHAnsi"/>
          <w:sz w:val="24"/>
          <w:szCs w:val="24"/>
        </w:rPr>
      </w:pPr>
      <w:bookmarkStart w:id="1" w:name="_GoBack"/>
      <w:bookmarkEnd w:id="1"/>
    </w:p>
    <w:p w:rsidR="00C63BD6" w:rsidRDefault="00C63BD6" w:rsidP="009A763E">
      <w:pPr>
        <w:rPr>
          <w:rFonts w:ascii="Arial" w:eastAsia="Times New Roman" w:hAnsi="Arial" w:cstheme="minorHAnsi"/>
          <w:sz w:val="24"/>
          <w:szCs w:val="24"/>
        </w:rPr>
      </w:pPr>
      <w:r>
        <w:rPr>
          <w:rFonts w:ascii="Arial" w:eastAsia="Times New Roman" w:hAnsi="Arial" w:cstheme="minorHAnsi"/>
          <w:sz w:val="24"/>
          <w:szCs w:val="24"/>
        </w:rPr>
        <w:t>Za preverjanje poslovanja obstoječih in novih poslovnih partnerjev AJPES nudi analitično spletno orodje Fi=Po</w:t>
      </w:r>
      <w:r w:rsidR="00072E25">
        <w:rPr>
          <w:rFonts w:ascii="Arial" w:eastAsia="Times New Roman" w:hAnsi="Arial" w:cstheme="minorHAnsi"/>
          <w:sz w:val="24"/>
          <w:szCs w:val="24"/>
        </w:rPr>
        <w:t xml:space="preserve"> finančni pomočnik</w:t>
      </w:r>
      <w:r>
        <w:rPr>
          <w:rFonts w:ascii="Arial" w:eastAsia="Times New Roman" w:hAnsi="Arial" w:cstheme="minorHAnsi"/>
          <w:sz w:val="24"/>
          <w:szCs w:val="24"/>
        </w:rPr>
        <w:t xml:space="preserve">, ki omogoča hiter pregled poslovanja </w:t>
      </w:r>
      <w:r w:rsidR="00072E25">
        <w:rPr>
          <w:rFonts w:ascii="Arial" w:eastAsia="Times New Roman" w:hAnsi="Arial" w:cstheme="minorHAnsi"/>
          <w:sz w:val="24"/>
          <w:szCs w:val="24"/>
        </w:rPr>
        <w:t xml:space="preserve">podjetja in nudi obilico uradnih podatkov, kazalnikov in informacij. Ponuja možnost izdelave poglobljenih analiz, priprave seznamov za trženje, izvoz seznamov in podatkov, pripravo </w:t>
      </w:r>
      <w:proofErr w:type="spellStart"/>
      <w:r w:rsidR="00072E25">
        <w:rPr>
          <w:rFonts w:ascii="Arial" w:eastAsia="Times New Roman" w:hAnsi="Arial" w:cstheme="minorHAnsi"/>
          <w:sz w:val="24"/>
          <w:szCs w:val="24"/>
        </w:rPr>
        <w:t>agregiranih</w:t>
      </w:r>
      <w:proofErr w:type="spellEnd"/>
      <w:r w:rsidR="00072E25">
        <w:rPr>
          <w:rFonts w:ascii="Arial" w:eastAsia="Times New Roman" w:hAnsi="Arial" w:cstheme="minorHAnsi"/>
          <w:sz w:val="24"/>
          <w:szCs w:val="24"/>
        </w:rPr>
        <w:t xml:space="preserve"> podatkov o poslovanju poslovnih subjektov na nivoju dejavnosti, regij, občin in celotnega gospodarstva. Zainteresirani naročniki naj pokličejo na AJPES, izpostavo Velenje, saj do konca marca lahko pridobijo ugoden popust. Več informacij lahko dobite na telefonski številki 03 898 75 00.</w:t>
      </w:r>
    </w:p>
    <w:p w:rsidR="00704EF8" w:rsidRDefault="00704EF8" w:rsidP="009A763E">
      <w:pPr>
        <w:rPr>
          <w:rFonts w:ascii="Arial" w:eastAsia="Times New Roman" w:hAnsi="Arial" w:cstheme="minorHAnsi"/>
          <w:sz w:val="24"/>
          <w:szCs w:val="24"/>
        </w:rPr>
      </w:pPr>
    </w:p>
    <w:p w:rsidR="00704EF8" w:rsidRDefault="00704EF8" w:rsidP="009A763E">
      <w:pPr>
        <w:rPr>
          <w:rFonts w:ascii="Arial" w:eastAsia="Times New Roman" w:hAnsi="Arial" w:cstheme="minorHAnsi"/>
          <w:sz w:val="24"/>
          <w:szCs w:val="24"/>
        </w:rPr>
      </w:pPr>
    </w:p>
    <w:p w:rsidR="00704EF8" w:rsidRDefault="00704EF8" w:rsidP="009A763E">
      <w:pPr>
        <w:rPr>
          <w:rFonts w:ascii="Arial" w:eastAsia="Times New Roman" w:hAnsi="Arial" w:cstheme="minorHAnsi"/>
          <w:sz w:val="24"/>
          <w:szCs w:val="24"/>
        </w:rPr>
      </w:pPr>
      <w:r w:rsidRPr="00704EF8">
        <w:rPr>
          <w:rFonts w:ascii="Arial" w:eastAsia="Times New Roman" w:hAnsi="Arial" w:cstheme="minorHAnsi"/>
          <w:sz w:val="24"/>
          <w:szCs w:val="24"/>
        </w:rPr>
        <w:t>Tanja Žnidarko</w:t>
      </w:r>
      <w:r>
        <w:rPr>
          <w:rFonts w:ascii="Arial" w:eastAsia="Times New Roman" w:hAnsi="Arial" w:cstheme="minorHAnsi"/>
          <w:sz w:val="24"/>
          <w:szCs w:val="24"/>
        </w:rPr>
        <w:t>,</w:t>
      </w:r>
    </w:p>
    <w:p w:rsidR="00704EF8" w:rsidRPr="00C63BD6" w:rsidRDefault="00704EF8" w:rsidP="009A763E">
      <w:pPr>
        <w:rPr>
          <w:rFonts w:ascii="Arial" w:eastAsia="Times New Roman" w:hAnsi="Arial" w:cstheme="minorHAnsi"/>
          <w:sz w:val="24"/>
          <w:szCs w:val="24"/>
        </w:rPr>
      </w:pPr>
      <w:r>
        <w:rPr>
          <w:rFonts w:ascii="Arial" w:eastAsia="Times New Roman" w:hAnsi="Arial" w:cstheme="minorHAnsi"/>
          <w:sz w:val="24"/>
          <w:szCs w:val="24"/>
        </w:rPr>
        <w:t>vodja AJPES, izpostave Velenje</w:t>
      </w:r>
    </w:p>
    <w:sectPr w:rsidR="00704EF8" w:rsidRPr="00C63BD6" w:rsidSect="004A365C">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D0EA2"/>
    <w:multiLevelType w:val="multilevel"/>
    <w:tmpl w:val="28CE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CC06F4"/>
    <w:multiLevelType w:val="multilevel"/>
    <w:tmpl w:val="C254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F04C93"/>
    <w:multiLevelType w:val="multilevel"/>
    <w:tmpl w:val="D25C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772820"/>
    <w:multiLevelType w:val="multilevel"/>
    <w:tmpl w:val="052A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D6B"/>
    <w:rsid w:val="0002376A"/>
    <w:rsid w:val="00072E25"/>
    <w:rsid w:val="00152B4C"/>
    <w:rsid w:val="00175659"/>
    <w:rsid w:val="002C1D65"/>
    <w:rsid w:val="002D0A1B"/>
    <w:rsid w:val="00366C5E"/>
    <w:rsid w:val="00425A29"/>
    <w:rsid w:val="004265B5"/>
    <w:rsid w:val="00450B6B"/>
    <w:rsid w:val="00471403"/>
    <w:rsid w:val="004A365C"/>
    <w:rsid w:val="0052497E"/>
    <w:rsid w:val="0057484E"/>
    <w:rsid w:val="0061617D"/>
    <w:rsid w:val="006D29EC"/>
    <w:rsid w:val="00704EF8"/>
    <w:rsid w:val="007C1C35"/>
    <w:rsid w:val="00860D6B"/>
    <w:rsid w:val="008738EA"/>
    <w:rsid w:val="00876124"/>
    <w:rsid w:val="008F56F5"/>
    <w:rsid w:val="009A763E"/>
    <w:rsid w:val="00B42A2D"/>
    <w:rsid w:val="00C63BD6"/>
    <w:rsid w:val="00CA7414"/>
    <w:rsid w:val="00CC11AA"/>
    <w:rsid w:val="00D82DE6"/>
    <w:rsid w:val="00DB6D7F"/>
    <w:rsid w:val="00DC5CBF"/>
    <w:rsid w:val="00FA69B9"/>
    <w:rsid w:val="00FF51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0AA4"/>
  <w15:docId w15:val="{ACF59BCE-7EFA-43FC-A35A-A2DA254B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60D6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0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14739">
      <w:bodyDiv w:val="1"/>
      <w:marLeft w:val="0"/>
      <w:marRight w:val="0"/>
      <w:marTop w:val="0"/>
      <w:marBottom w:val="0"/>
      <w:divBdr>
        <w:top w:val="none" w:sz="0" w:space="0" w:color="auto"/>
        <w:left w:val="none" w:sz="0" w:space="0" w:color="auto"/>
        <w:bottom w:val="none" w:sz="0" w:space="0" w:color="auto"/>
        <w:right w:val="none" w:sz="0" w:space="0" w:color="auto"/>
      </w:divBdr>
      <w:divsChild>
        <w:div w:id="1600797603">
          <w:marLeft w:val="0"/>
          <w:marRight w:val="0"/>
          <w:marTop w:val="0"/>
          <w:marBottom w:val="0"/>
          <w:divBdr>
            <w:top w:val="none" w:sz="0" w:space="0" w:color="auto"/>
            <w:left w:val="none" w:sz="0" w:space="0" w:color="auto"/>
            <w:bottom w:val="none" w:sz="0" w:space="0" w:color="auto"/>
            <w:right w:val="none" w:sz="0" w:space="0" w:color="auto"/>
          </w:divBdr>
          <w:divsChild>
            <w:div w:id="1376661132">
              <w:marLeft w:val="0"/>
              <w:marRight w:val="0"/>
              <w:marTop w:val="0"/>
              <w:marBottom w:val="0"/>
              <w:divBdr>
                <w:top w:val="none" w:sz="0" w:space="0" w:color="auto"/>
                <w:left w:val="none" w:sz="0" w:space="0" w:color="auto"/>
                <w:bottom w:val="none" w:sz="0" w:space="0" w:color="auto"/>
                <w:right w:val="none" w:sz="0" w:space="0" w:color="auto"/>
              </w:divBdr>
            </w:div>
            <w:div w:id="878204631">
              <w:marLeft w:val="0"/>
              <w:marRight w:val="0"/>
              <w:marTop w:val="0"/>
              <w:marBottom w:val="0"/>
              <w:divBdr>
                <w:top w:val="none" w:sz="0" w:space="0" w:color="auto"/>
                <w:left w:val="none" w:sz="0" w:space="0" w:color="auto"/>
                <w:bottom w:val="none" w:sz="0" w:space="0" w:color="auto"/>
                <w:right w:val="none" w:sz="0" w:space="0" w:color="auto"/>
              </w:divBdr>
            </w:div>
            <w:div w:id="610279032">
              <w:marLeft w:val="0"/>
              <w:marRight w:val="0"/>
              <w:marTop w:val="0"/>
              <w:marBottom w:val="0"/>
              <w:divBdr>
                <w:top w:val="none" w:sz="0" w:space="0" w:color="auto"/>
                <w:left w:val="none" w:sz="0" w:space="0" w:color="auto"/>
                <w:bottom w:val="none" w:sz="0" w:space="0" w:color="auto"/>
                <w:right w:val="none" w:sz="0" w:space="0" w:color="auto"/>
              </w:divBdr>
            </w:div>
            <w:div w:id="1866940072">
              <w:marLeft w:val="0"/>
              <w:marRight w:val="0"/>
              <w:marTop w:val="0"/>
              <w:marBottom w:val="0"/>
              <w:divBdr>
                <w:top w:val="none" w:sz="0" w:space="0" w:color="auto"/>
                <w:left w:val="none" w:sz="0" w:space="0" w:color="auto"/>
                <w:bottom w:val="none" w:sz="0" w:space="0" w:color="auto"/>
                <w:right w:val="none" w:sz="0" w:space="0" w:color="auto"/>
              </w:divBdr>
            </w:div>
            <w:div w:id="1440375181">
              <w:marLeft w:val="0"/>
              <w:marRight w:val="0"/>
              <w:marTop w:val="0"/>
              <w:marBottom w:val="0"/>
              <w:divBdr>
                <w:top w:val="none" w:sz="0" w:space="0" w:color="auto"/>
                <w:left w:val="none" w:sz="0" w:space="0" w:color="auto"/>
                <w:bottom w:val="none" w:sz="0" w:space="0" w:color="auto"/>
                <w:right w:val="none" w:sz="0" w:space="0" w:color="auto"/>
              </w:divBdr>
            </w:div>
            <w:div w:id="2024933450">
              <w:marLeft w:val="0"/>
              <w:marRight w:val="0"/>
              <w:marTop w:val="0"/>
              <w:marBottom w:val="0"/>
              <w:divBdr>
                <w:top w:val="none" w:sz="0" w:space="0" w:color="auto"/>
                <w:left w:val="none" w:sz="0" w:space="0" w:color="auto"/>
                <w:bottom w:val="none" w:sz="0" w:space="0" w:color="auto"/>
                <w:right w:val="none" w:sz="0" w:space="0" w:color="auto"/>
              </w:divBdr>
            </w:div>
            <w:div w:id="425200193">
              <w:marLeft w:val="0"/>
              <w:marRight w:val="0"/>
              <w:marTop w:val="0"/>
              <w:marBottom w:val="0"/>
              <w:divBdr>
                <w:top w:val="none" w:sz="0" w:space="0" w:color="auto"/>
                <w:left w:val="none" w:sz="0" w:space="0" w:color="auto"/>
                <w:bottom w:val="none" w:sz="0" w:space="0" w:color="auto"/>
                <w:right w:val="none" w:sz="0" w:space="0" w:color="auto"/>
              </w:divBdr>
            </w:div>
            <w:div w:id="1953632297">
              <w:marLeft w:val="0"/>
              <w:marRight w:val="0"/>
              <w:marTop w:val="0"/>
              <w:marBottom w:val="0"/>
              <w:divBdr>
                <w:top w:val="none" w:sz="0" w:space="0" w:color="auto"/>
                <w:left w:val="none" w:sz="0" w:space="0" w:color="auto"/>
                <w:bottom w:val="none" w:sz="0" w:space="0" w:color="auto"/>
                <w:right w:val="none" w:sz="0" w:space="0" w:color="auto"/>
              </w:divBdr>
            </w:div>
            <w:div w:id="242840905">
              <w:marLeft w:val="0"/>
              <w:marRight w:val="0"/>
              <w:marTop w:val="0"/>
              <w:marBottom w:val="0"/>
              <w:divBdr>
                <w:top w:val="none" w:sz="0" w:space="0" w:color="auto"/>
                <w:left w:val="none" w:sz="0" w:space="0" w:color="auto"/>
                <w:bottom w:val="none" w:sz="0" w:space="0" w:color="auto"/>
                <w:right w:val="none" w:sz="0" w:space="0" w:color="auto"/>
              </w:divBdr>
            </w:div>
            <w:div w:id="706956693">
              <w:marLeft w:val="0"/>
              <w:marRight w:val="0"/>
              <w:marTop w:val="0"/>
              <w:marBottom w:val="0"/>
              <w:divBdr>
                <w:top w:val="none" w:sz="0" w:space="0" w:color="auto"/>
                <w:left w:val="none" w:sz="0" w:space="0" w:color="auto"/>
                <w:bottom w:val="none" w:sz="0" w:space="0" w:color="auto"/>
                <w:right w:val="none" w:sz="0" w:space="0" w:color="auto"/>
              </w:divBdr>
            </w:div>
            <w:div w:id="1788543722">
              <w:marLeft w:val="0"/>
              <w:marRight w:val="0"/>
              <w:marTop w:val="0"/>
              <w:marBottom w:val="0"/>
              <w:divBdr>
                <w:top w:val="none" w:sz="0" w:space="0" w:color="auto"/>
                <w:left w:val="none" w:sz="0" w:space="0" w:color="auto"/>
                <w:bottom w:val="none" w:sz="0" w:space="0" w:color="auto"/>
                <w:right w:val="none" w:sz="0" w:space="0" w:color="auto"/>
              </w:divBdr>
            </w:div>
            <w:div w:id="1509637997">
              <w:marLeft w:val="0"/>
              <w:marRight w:val="0"/>
              <w:marTop w:val="0"/>
              <w:marBottom w:val="0"/>
              <w:divBdr>
                <w:top w:val="none" w:sz="0" w:space="0" w:color="auto"/>
                <w:left w:val="none" w:sz="0" w:space="0" w:color="auto"/>
                <w:bottom w:val="none" w:sz="0" w:space="0" w:color="auto"/>
                <w:right w:val="none" w:sz="0" w:space="0" w:color="auto"/>
              </w:divBdr>
            </w:div>
            <w:div w:id="1247114673">
              <w:marLeft w:val="0"/>
              <w:marRight w:val="0"/>
              <w:marTop w:val="0"/>
              <w:marBottom w:val="0"/>
              <w:divBdr>
                <w:top w:val="none" w:sz="0" w:space="0" w:color="auto"/>
                <w:left w:val="none" w:sz="0" w:space="0" w:color="auto"/>
                <w:bottom w:val="none" w:sz="0" w:space="0" w:color="auto"/>
                <w:right w:val="none" w:sz="0" w:space="0" w:color="auto"/>
              </w:divBdr>
            </w:div>
            <w:div w:id="848519129">
              <w:marLeft w:val="0"/>
              <w:marRight w:val="0"/>
              <w:marTop w:val="0"/>
              <w:marBottom w:val="0"/>
              <w:divBdr>
                <w:top w:val="none" w:sz="0" w:space="0" w:color="auto"/>
                <w:left w:val="none" w:sz="0" w:space="0" w:color="auto"/>
                <w:bottom w:val="none" w:sz="0" w:space="0" w:color="auto"/>
                <w:right w:val="none" w:sz="0" w:space="0" w:color="auto"/>
              </w:divBdr>
            </w:div>
            <w:div w:id="863246672">
              <w:marLeft w:val="0"/>
              <w:marRight w:val="0"/>
              <w:marTop w:val="0"/>
              <w:marBottom w:val="0"/>
              <w:divBdr>
                <w:top w:val="none" w:sz="0" w:space="0" w:color="auto"/>
                <w:left w:val="none" w:sz="0" w:space="0" w:color="auto"/>
                <w:bottom w:val="none" w:sz="0" w:space="0" w:color="auto"/>
                <w:right w:val="none" w:sz="0" w:space="0" w:color="auto"/>
              </w:divBdr>
            </w:div>
            <w:div w:id="670328214">
              <w:marLeft w:val="0"/>
              <w:marRight w:val="0"/>
              <w:marTop w:val="0"/>
              <w:marBottom w:val="0"/>
              <w:divBdr>
                <w:top w:val="none" w:sz="0" w:space="0" w:color="auto"/>
                <w:left w:val="none" w:sz="0" w:space="0" w:color="auto"/>
                <w:bottom w:val="none" w:sz="0" w:space="0" w:color="auto"/>
                <w:right w:val="none" w:sz="0" w:space="0" w:color="auto"/>
              </w:divBdr>
            </w:div>
            <w:div w:id="1574464639">
              <w:marLeft w:val="0"/>
              <w:marRight w:val="0"/>
              <w:marTop w:val="0"/>
              <w:marBottom w:val="0"/>
              <w:divBdr>
                <w:top w:val="none" w:sz="0" w:space="0" w:color="auto"/>
                <w:left w:val="none" w:sz="0" w:space="0" w:color="auto"/>
                <w:bottom w:val="none" w:sz="0" w:space="0" w:color="auto"/>
                <w:right w:val="none" w:sz="0" w:space="0" w:color="auto"/>
              </w:divBdr>
            </w:div>
            <w:div w:id="1942644314">
              <w:marLeft w:val="0"/>
              <w:marRight w:val="0"/>
              <w:marTop w:val="0"/>
              <w:marBottom w:val="0"/>
              <w:divBdr>
                <w:top w:val="none" w:sz="0" w:space="0" w:color="auto"/>
                <w:left w:val="none" w:sz="0" w:space="0" w:color="auto"/>
                <w:bottom w:val="none" w:sz="0" w:space="0" w:color="auto"/>
                <w:right w:val="none" w:sz="0" w:space="0" w:color="auto"/>
              </w:divBdr>
            </w:div>
            <w:div w:id="1435133758">
              <w:marLeft w:val="0"/>
              <w:marRight w:val="0"/>
              <w:marTop w:val="0"/>
              <w:marBottom w:val="0"/>
              <w:divBdr>
                <w:top w:val="none" w:sz="0" w:space="0" w:color="auto"/>
                <w:left w:val="none" w:sz="0" w:space="0" w:color="auto"/>
                <w:bottom w:val="none" w:sz="0" w:space="0" w:color="auto"/>
                <w:right w:val="none" w:sz="0" w:space="0" w:color="auto"/>
              </w:divBdr>
              <w:divsChild>
                <w:div w:id="638655305">
                  <w:marLeft w:val="0"/>
                  <w:marRight w:val="0"/>
                  <w:marTop w:val="0"/>
                  <w:marBottom w:val="0"/>
                  <w:divBdr>
                    <w:top w:val="none" w:sz="0" w:space="0" w:color="auto"/>
                    <w:left w:val="none" w:sz="0" w:space="0" w:color="auto"/>
                    <w:bottom w:val="none" w:sz="0" w:space="0" w:color="auto"/>
                    <w:right w:val="none" w:sz="0" w:space="0" w:color="auto"/>
                  </w:divBdr>
                </w:div>
              </w:divsChild>
            </w:div>
            <w:div w:id="1379358714">
              <w:marLeft w:val="0"/>
              <w:marRight w:val="0"/>
              <w:marTop w:val="0"/>
              <w:marBottom w:val="0"/>
              <w:divBdr>
                <w:top w:val="none" w:sz="0" w:space="0" w:color="auto"/>
                <w:left w:val="none" w:sz="0" w:space="0" w:color="auto"/>
                <w:bottom w:val="none" w:sz="0" w:space="0" w:color="auto"/>
                <w:right w:val="none" w:sz="0" w:space="0" w:color="auto"/>
              </w:divBdr>
              <w:divsChild>
                <w:div w:id="1479031888">
                  <w:marLeft w:val="0"/>
                  <w:marRight w:val="0"/>
                  <w:marTop w:val="0"/>
                  <w:marBottom w:val="0"/>
                  <w:divBdr>
                    <w:top w:val="none" w:sz="0" w:space="0" w:color="auto"/>
                    <w:left w:val="none" w:sz="0" w:space="0" w:color="auto"/>
                    <w:bottom w:val="none" w:sz="0" w:space="0" w:color="auto"/>
                    <w:right w:val="none" w:sz="0" w:space="0" w:color="auto"/>
                  </w:divBdr>
                </w:div>
              </w:divsChild>
            </w:div>
            <w:div w:id="1068962016">
              <w:marLeft w:val="0"/>
              <w:marRight w:val="0"/>
              <w:marTop w:val="0"/>
              <w:marBottom w:val="0"/>
              <w:divBdr>
                <w:top w:val="none" w:sz="0" w:space="0" w:color="auto"/>
                <w:left w:val="none" w:sz="0" w:space="0" w:color="auto"/>
                <w:bottom w:val="none" w:sz="0" w:space="0" w:color="auto"/>
                <w:right w:val="none" w:sz="0" w:space="0" w:color="auto"/>
              </w:divBdr>
            </w:div>
            <w:div w:id="1563901861">
              <w:marLeft w:val="0"/>
              <w:marRight w:val="0"/>
              <w:marTop w:val="0"/>
              <w:marBottom w:val="0"/>
              <w:divBdr>
                <w:top w:val="none" w:sz="0" w:space="0" w:color="auto"/>
                <w:left w:val="none" w:sz="0" w:space="0" w:color="auto"/>
                <w:bottom w:val="none" w:sz="0" w:space="0" w:color="auto"/>
                <w:right w:val="none" w:sz="0" w:space="0" w:color="auto"/>
              </w:divBdr>
            </w:div>
            <w:div w:id="10893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4930">
      <w:bodyDiv w:val="1"/>
      <w:marLeft w:val="0"/>
      <w:marRight w:val="0"/>
      <w:marTop w:val="0"/>
      <w:marBottom w:val="0"/>
      <w:divBdr>
        <w:top w:val="none" w:sz="0" w:space="0" w:color="auto"/>
        <w:left w:val="none" w:sz="0" w:space="0" w:color="auto"/>
        <w:bottom w:val="none" w:sz="0" w:space="0" w:color="auto"/>
        <w:right w:val="none" w:sz="0" w:space="0" w:color="auto"/>
      </w:divBdr>
    </w:div>
    <w:div w:id="788165006">
      <w:bodyDiv w:val="1"/>
      <w:marLeft w:val="0"/>
      <w:marRight w:val="0"/>
      <w:marTop w:val="0"/>
      <w:marBottom w:val="0"/>
      <w:divBdr>
        <w:top w:val="none" w:sz="0" w:space="0" w:color="auto"/>
        <w:left w:val="none" w:sz="0" w:space="0" w:color="auto"/>
        <w:bottom w:val="none" w:sz="0" w:space="0" w:color="auto"/>
        <w:right w:val="none" w:sz="0" w:space="0" w:color="auto"/>
      </w:divBdr>
    </w:div>
    <w:div w:id="1008101895">
      <w:bodyDiv w:val="1"/>
      <w:marLeft w:val="0"/>
      <w:marRight w:val="0"/>
      <w:marTop w:val="0"/>
      <w:marBottom w:val="0"/>
      <w:divBdr>
        <w:top w:val="none" w:sz="0" w:space="0" w:color="auto"/>
        <w:left w:val="none" w:sz="0" w:space="0" w:color="auto"/>
        <w:bottom w:val="none" w:sz="0" w:space="0" w:color="auto"/>
        <w:right w:val="none" w:sz="0" w:space="0" w:color="auto"/>
      </w:divBdr>
      <w:divsChild>
        <w:div w:id="269355792">
          <w:marLeft w:val="0"/>
          <w:marRight w:val="0"/>
          <w:marTop w:val="0"/>
          <w:marBottom w:val="0"/>
          <w:divBdr>
            <w:top w:val="none" w:sz="0" w:space="0" w:color="auto"/>
            <w:left w:val="none" w:sz="0" w:space="0" w:color="auto"/>
            <w:bottom w:val="none" w:sz="0" w:space="0" w:color="auto"/>
            <w:right w:val="none" w:sz="0" w:space="0" w:color="auto"/>
          </w:divBdr>
          <w:divsChild>
            <w:div w:id="207957094">
              <w:marLeft w:val="0"/>
              <w:marRight w:val="0"/>
              <w:marTop w:val="0"/>
              <w:marBottom w:val="0"/>
              <w:divBdr>
                <w:top w:val="none" w:sz="0" w:space="0" w:color="auto"/>
                <w:left w:val="none" w:sz="0" w:space="0" w:color="auto"/>
                <w:bottom w:val="none" w:sz="0" w:space="0" w:color="auto"/>
                <w:right w:val="none" w:sz="0" w:space="0" w:color="auto"/>
              </w:divBdr>
            </w:div>
            <w:div w:id="412091283">
              <w:marLeft w:val="0"/>
              <w:marRight w:val="0"/>
              <w:marTop w:val="0"/>
              <w:marBottom w:val="0"/>
              <w:divBdr>
                <w:top w:val="none" w:sz="0" w:space="0" w:color="auto"/>
                <w:left w:val="none" w:sz="0" w:space="0" w:color="auto"/>
                <w:bottom w:val="none" w:sz="0" w:space="0" w:color="auto"/>
                <w:right w:val="none" w:sz="0" w:space="0" w:color="auto"/>
              </w:divBdr>
            </w:div>
            <w:div w:id="178082125">
              <w:marLeft w:val="0"/>
              <w:marRight w:val="0"/>
              <w:marTop w:val="0"/>
              <w:marBottom w:val="0"/>
              <w:divBdr>
                <w:top w:val="none" w:sz="0" w:space="0" w:color="auto"/>
                <w:left w:val="none" w:sz="0" w:space="0" w:color="auto"/>
                <w:bottom w:val="none" w:sz="0" w:space="0" w:color="auto"/>
                <w:right w:val="none" w:sz="0" w:space="0" w:color="auto"/>
              </w:divBdr>
            </w:div>
            <w:div w:id="26234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2608">
      <w:bodyDiv w:val="1"/>
      <w:marLeft w:val="0"/>
      <w:marRight w:val="0"/>
      <w:marTop w:val="0"/>
      <w:marBottom w:val="0"/>
      <w:divBdr>
        <w:top w:val="none" w:sz="0" w:space="0" w:color="auto"/>
        <w:left w:val="none" w:sz="0" w:space="0" w:color="auto"/>
        <w:bottom w:val="none" w:sz="0" w:space="0" w:color="auto"/>
        <w:right w:val="none" w:sz="0" w:space="0" w:color="auto"/>
      </w:divBdr>
    </w:div>
    <w:div w:id="1564290933">
      <w:bodyDiv w:val="1"/>
      <w:marLeft w:val="0"/>
      <w:marRight w:val="0"/>
      <w:marTop w:val="0"/>
      <w:marBottom w:val="0"/>
      <w:divBdr>
        <w:top w:val="none" w:sz="0" w:space="0" w:color="auto"/>
        <w:left w:val="none" w:sz="0" w:space="0" w:color="auto"/>
        <w:bottom w:val="none" w:sz="0" w:space="0" w:color="auto"/>
        <w:right w:val="none" w:sz="0" w:space="0" w:color="auto"/>
      </w:divBdr>
      <w:divsChild>
        <w:div w:id="1278638110">
          <w:marLeft w:val="0"/>
          <w:marRight w:val="0"/>
          <w:marTop w:val="0"/>
          <w:marBottom w:val="0"/>
          <w:divBdr>
            <w:top w:val="none" w:sz="0" w:space="0" w:color="auto"/>
            <w:left w:val="none" w:sz="0" w:space="0" w:color="auto"/>
            <w:bottom w:val="none" w:sz="0" w:space="0" w:color="auto"/>
            <w:right w:val="none" w:sz="0" w:space="0" w:color="auto"/>
          </w:divBdr>
          <w:divsChild>
            <w:div w:id="957493634">
              <w:marLeft w:val="0"/>
              <w:marRight w:val="0"/>
              <w:marTop w:val="0"/>
              <w:marBottom w:val="0"/>
              <w:divBdr>
                <w:top w:val="none" w:sz="0" w:space="0" w:color="auto"/>
                <w:left w:val="none" w:sz="0" w:space="0" w:color="auto"/>
                <w:bottom w:val="none" w:sz="0" w:space="0" w:color="auto"/>
                <w:right w:val="none" w:sz="0" w:space="0" w:color="auto"/>
              </w:divBdr>
            </w:div>
            <w:div w:id="718282746">
              <w:marLeft w:val="0"/>
              <w:marRight w:val="0"/>
              <w:marTop w:val="0"/>
              <w:marBottom w:val="0"/>
              <w:divBdr>
                <w:top w:val="none" w:sz="0" w:space="0" w:color="auto"/>
                <w:left w:val="none" w:sz="0" w:space="0" w:color="auto"/>
                <w:bottom w:val="none" w:sz="0" w:space="0" w:color="auto"/>
                <w:right w:val="none" w:sz="0" w:space="0" w:color="auto"/>
              </w:divBdr>
            </w:div>
            <w:div w:id="1917203858">
              <w:marLeft w:val="0"/>
              <w:marRight w:val="0"/>
              <w:marTop w:val="0"/>
              <w:marBottom w:val="0"/>
              <w:divBdr>
                <w:top w:val="none" w:sz="0" w:space="0" w:color="auto"/>
                <w:left w:val="none" w:sz="0" w:space="0" w:color="auto"/>
                <w:bottom w:val="none" w:sz="0" w:space="0" w:color="auto"/>
                <w:right w:val="none" w:sz="0" w:space="0" w:color="auto"/>
              </w:divBdr>
            </w:div>
            <w:div w:id="1158156870">
              <w:marLeft w:val="0"/>
              <w:marRight w:val="0"/>
              <w:marTop w:val="0"/>
              <w:marBottom w:val="0"/>
              <w:divBdr>
                <w:top w:val="none" w:sz="0" w:space="0" w:color="auto"/>
                <w:left w:val="none" w:sz="0" w:space="0" w:color="auto"/>
                <w:bottom w:val="none" w:sz="0" w:space="0" w:color="auto"/>
                <w:right w:val="none" w:sz="0" w:space="0" w:color="auto"/>
              </w:divBdr>
            </w:div>
            <w:div w:id="485587738">
              <w:marLeft w:val="0"/>
              <w:marRight w:val="0"/>
              <w:marTop w:val="0"/>
              <w:marBottom w:val="0"/>
              <w:divBdr>
                <w:top w:val="none" w:sz="0" w:space="0" w:color="auto"/>
                <w:left w:val="none" w:sz="0" w:space="0" w:color="auto"/>
                <w:bottom w:val="none" w:sz="0" w:space="0" w:color="auto"/>
                <w:right w:val="none" w:sz="0" w:space="0" w:color="auto"/>
              </w:divBdr>
            </w:div>
            <w:div w:id="997540154">
              <w:marLeft w:val="0"/>
              <w:marRight w:val="0"/>
              <w:marTop w:val="0"/>
              <w:marBottom w:val="0"/>
              <w:divBdr>
                <w:top w:val="none" w:sz="0" w:space="0" w:color="auto"/>
                <w:left w:val="none" w:sz="0" w:space="0" w:color="auto"/>
                <w:bottom w:val="none" w:sz="0" w:space="0" w:color="auto"/>
                <w:right w:val="none" w:sz="0" w:space="0" w:color="auto"/>
              </w:divBdr>
            </w:div>
            <w:div w:id="1451969170">
              <w:marLeft w:val="0"/>
              <w:marRight w:val="0"/>
              <w:marTop w:val="0"/>
              <w:marBottom w:val="0"/>
              <w:divBdr>
                <w:top w:val="none" w:sz="0" w:space="0" w:color="auto"/>
                <w:left w:val="none" w:sz="0" w:space="0" w:color="auto"/>
                <w:bottom w:val="none" w:sz="0" w:space="0" w:color="auto"/>
                <w:right w:val="none" w:sz="0" w:space="0" w:color="auto"/>
              </w:divBdr>
            </w:div>
            <w:div w:id="1749572993">
              <w:marLeft w:val="0"/>
              <w:marRight w:val="0"/>
              <w:marTop w:val="0"/>
              <w:marBottom w:val="0"/>
              <w:divBdr>
                <w:top w:val="none" w:sz="0" w:space="0" w:color="auto"/>
                <w:left w:val="none" w:sz="0" w:space="0" w:color="auto"/>
                <w:bottom w:val="none" w:sz="0" w:space="0" w:color="auto"/>
                <w:right w:val="none" w:sz="0" w:space="0" w:color="auto"/>
              </w:divBdr>
            </w:div>
            <w:div w:id="1079135749">
              <w:marLeft w:val="0"/>
              <w:marRight w:val="0"/>
              <w:marTop w:val="0"/>
              <w:marBottom w:val="0"/>
              <w:divBdr>
                <w:top w:val="none" w:sz="0" w:space="0" w:color="auto"/>
                <w:left w:val="none" w:sz="0" w:space="0" w:color="auto"/>
                <w:bottom w:val="none" w:sz="0" w:space="0" w:color="auto"/>
                <w:right w:val="none" w:sz="0" w:space="0" w:color="auto"/>
              </w:divBdr>
            </w:div>
            <w:div w:id="754209214">
              <w:marLeft w:val="0"/>
              <w:marRight w:val="0"/>
              <w:marTop w:val="0"/>
              <w:marBottom w:val="0"/>
              <w:divBdr>
                <w:top w:val="none" w:sz="0" w:space="0" w:color="auto"/>
                <w:left w:val="none" w:sz="0" w:space="0" w:color="auto"/>
                <w:bottom w:val="none" w:sz="0" w:space="0" w:color="auto"/>
                <w:right w:val="none" w:sz="0" w:space="0" w:color="auto"/>
              </w:divBdr>
            </w:div>
            <w:div w:id="367609538">
              <w:marLeft w:val="0"/>
              <w:marRight w:val="0"/>
              <w:marTop w:val="0"/>
              <w:marBottom w:val="0"/>
              <w:divBdr>
                <w:top w:val="none" w:sz="0" w:space="0" w:color="auto"/>
                <w:left w:val="none" w:sz="0" w:space="0" w:color="auto"/>
                <w:bottom w:val="none" w:sz="0" w:space="0" w:color="auto"/>
                <w:right w:val="none" w:sz="0" w:space="0" w:color="auto"/>
              </w:divBdr>
            </w:div>
            <w:div w:id="356538891">
              <w:marLeft w:val="0"/>
              <w:marRight w:val="0"/>
              <w:marTop w:val="0"/>
              <w:marBottom w:val="0"/>
              <w:divBdr>
                <w:top w:val="none" w:sz="0" w:space="0" w:color="auto"/>
                <w:left w:val="none" w:sz="0" w:space="0" w:color="auto"/>
                <w:bottom w:val="none" w:sz="0" w:space="0" w:color="auto"/>
                <w:right w:val="none" w:sz="0" w:space="0" w:color="auto"/>
              </w:divBdr>
            </w:div>
            <w:div w:id="1839349633">
              <w:marLeft w:val="0"/>
              <w:marRight w:val="0"/>
              <w:marTop w:val="0"/>
              <w:marBottom w:val="0"/>
              <w:divBdr>
                <w:top w:val="none" w:sz="0" w:space="0" w:color="auto"/>
                <w:left w:val="none" w:sz="0" w:space="0" w:color="auto"/>
                <w:bottom w:val="none" w:sz="0" w:space="0" w:color="auto"/>
                <w:right w:val="none" w:sz="0" w:space="0" w:color="auto"/>
              </w:divBdr>
            </w:div>
            <w:div w:id="1636174465">
              <w:marLeft w:val="0"/>
              <w:marRight w:val="0"/>
              <w:marTop w:val="0"/>
              <w:marBottom w:val="0"/>
              <w:divBdr>
                <w:top w:val="none" w:sz="0" w:space="0" w:color="auto"/>
                <w:left w:val="none" w:sz="0" w:space="0" w:color="auto"/>
                <w:bottom w:val="none" w:sz="0" w:space="0" w:color="auto"/>
                <w:right w:val="none" w:sz="0" w:space="0" w:color="auto"/>
              </w:divBdr>
            </w:div>
            <w:div w:id="1998068531">
              <w:marLeft w:val="0"/>
              <w:marRight w:val="0"/>
              <w:marTop w:val="0"/>
              <w:marBottom w:val="0"/>
              <w:divBdr>
                <w:top w:val="none" w:sz="0" w:space="0" w:color="auto"/>
                <w:left w:val="none" w:sz="0" w:space="0" w:color="auto"/>
                <w:bottom w:val="none" w:sz="0" w:space="0" w:color="auto"/>
                <w:right w:val="none" w:sz="0" w:space="0" w:color="auto"/>
              </w:divBdr>
            </w:div>
            <w:div w:id="1940134709">
              <w:marLeft w:val="0"/>
              <w:marRight w:val="0"/>
              <w:marTop w:val="0"/>
              <w:marBottom w:val="0"/>
              <w:divBdr>
                <w:top w:val="none" w:sz="0" w:space="0" w:color="auto"/>
                <w:left w:val="none" w:sz="0" w:space="0" w:color="auto"/>
                <w:bottom w:val="none" w:sz="0" w:space="0" w:color="auto"/>
                <w:right w:val="none" w:sz="0" w:space="0" w:color="auto"/>
              </w:divBdr>
            </w:div>
            <w:div w:id="1458404903">
              <w:marLeft w:val="0"/>
              <w:marRight w:val="0"/>
              <w:marTop w:val="0"/>
              <w:marBottom w:val="0"/>
              <w:divBdr>
                <w:top w:val="none" w:sz="0" w:space="0" w:color="auto"/>
                <w:left w:val="none" w:sz="0" w:space="0" w:color="auto"/>
                <w:bottom w:val="none" w:sz="0" w:space="0" w:color="auto"/>
                <w:right w:val="none" w:sz="0" w:space="0" w:color="auto"/>
              </w:divBdr>
            </w:div>
            <w:div w:id="1583299625">
              <w:marLeft w:val="0"/>
              <w:marRight w:val="0"/>
              <w:marTop w:val="0"/>
              <w:marBottom w:val="0"/>
              <w:divBdr>
                <w:top w:val="none" w:sz="0" w:space="0" w:color="auto"/>
                <w:left w:val="none" w:sz="0" w:space="0" w:color="auto"/>
                <w:bottom w:val="none" w:sz="0" w:space="0" w:color="auto"/>
                <w:right w:val="none" w:sz="0" w:space="0" w:color="auto"/>
              </w:divBdr>
            </w:div>
            <w:div w:id="2093891133">
              <w:marLeft w:val="0"/>
              <w:marRight w:val="0"/>
              <w:marTop w:val="0"/>
              <w:marBottom w:val="0"/>
              <w:divBdr>
                <w:top w:val="none" w:sz="0" w:space="0" w:color="auto"/>
                <w:left w:val="none" w:sz="0" w:space="0" w:color="auto"/>
                <w:bottom w:val="none" w:sz="0" w:space="0" w:color="auto"/>
                <w:right w:val="none" w:sz="0" w:space="0" w:color="auto"/>
              </w:divBdr>
            </w:div>
            <w:div w:id="1103526256">
              <w:marLeft w:val="0"/>
              <w:marRight w:val="0"/>
              <w:marTop w:val="0"/>
              <w:marBottom w:val="0"/>
              <w:divBdr>
                <w:top w:val="none" w:sz="0" w:space="0" w:color="auto"/>
                <w:left w:val="none" w:sz="0" w:space="0" w:color="auto"/>
                <w:bottom w:val="none" w:sz="0" w:space="0" w:color="auto"/>
                <w:right w:val="none" w:sz="0" w:space="0" w:color="auto"/>
              </w:divBdr>
            </w:div>
            <w:div w:id="1503811019">
              <w:marLeft w:val="0"/>
              <w:marRight w:val="0"/>
              <w:marTop w:val="0"/>
              <w:marBottom w:val="0"/>
              <w:divBdr>
                <w:top w:val="none" w:sz="0" w:space="0" w:color="auto"/>
                <w:left w:val="none" w:sz="0" w:space="0" w:color="auto"/>
                <w:bottom w:val="none" w:sz="0" w:space="0" w:color="auto"/>
                <w:right w:val="none" w:sz="0" w:space="0" w:color="auto"/>
              </w:divBdr>
            </w:div>
            <w:div w:id="1883177327">
              <w:marLeft w:val="0"/>
              <w:marRight w:val="0"/>
              <w:marTop w:val="0"/>
              <w:marBottom w:val="0"/>
              <w:divBdr>
                <w:top w:val="none" w:sz="0" w:space="0" w:color="auto"/>
                <w:left w:val="none" w:sz="0" w:space="0" w:color="auto"/>
                <w:bottom w:val="none" w:sz="0" w:space="0" w:color="auto"/>
                <w:right w:val="none" w:sz="0" w:space="0" w:color="auto"/>
              </w:divBdr>
            </w:div>
            <w:div w:id="1276254512">
              <w:marLeft w:val="0"/>
              <w:marRight w:val="0"/>
              <w:marTop w:val="0"/>
              <w:marBottom w:val="0"/>
              <w:divBdr>
                <w:top w:val="none" w:sz="0" w:space="0" w:color="auto"/>
                <w:left w:val="none" w:sz="0" w:space="0" w:color="auto"/>
                <w:bottom w:val="none" w:sz="0" w:space="0" w:color="auto"/>
                <w:right w:val="none" w:sz="0" w:space="0" w:color="auto"/>
              </w:divBdr>
              <w:divsChild>
                <w:div w:id="142164285">
                  <w:marLeft w:val="0"/>
                  <w:marRight w:val="0"/>
                  <w:marTop w:val="0"/>
                  <w:marBottom w:val="0"/>
                  <w:divBdr>
                    <w:top w:val="none" w:sz="0" w:space="0" w:color="auto"/>
                    <w:left w:val="none" w:sz="0" w:space="0" w:color="auto"/>
                    <w:bottom w:val="none" w:sz="0" w:space="0" w:color="auto"/>
                    <w:right w:val="none" w:sz="0" w:space="0" w:color="auto"/>
                  </w:divBdr>
                </w:div>
              </w:divsChild>
            </w:div>
            <w:div w:id="724567830">
              <w:marLeft w:val="0"/>
              <w:marRight w:val="0"/>
              <w:marTop w:val="0"/>
              <w:marBottom w:val="0"/>
              <w:divBdr>
                <w:top w:val="none" w:sz="0" w:space="0" w:color="auto"/>
                <w:left w:val="none" w:sz="0" w:space="0" w:color="auto"/>
                <w:bottom w:val="none" w:sz="0" w:space="0" w:color="auto"/>
                <w:right w:val="none" w:sz="0" w:space="0" w:color="auto"/>
              </w:divBdr>
              <w:divsChild>
                <w:div w:id="1215122665">
                  <w:marLeft w:val="0"/>
                  <w:marRight w:val="0"/>
                  <w:marTop w:val="0"/>
                  <w:marBottom w:val="0"/>
                  <w:divBdr>
                    <w:top w:val="none" w:sz="0" w:space="0" w:color="auto"/>
                    <w:left w:val="none" w:sz="0" w:space="0" w:color="auto"/>
                    <w:bottom w:val="none" w:sz="0" w:space="0" w:color="auto"/>
                    <w:right w:val="none" w:sz="0" w:space="0" w:color="auto"/>
                  </w:divBdr>
                </w:div>
              </w:divsChild>
            </w:div>
            <w:div w:id="1882814661">
              <w:marLeft w:val="0"/>
              <w:marRight w:val="0"/>
              <w:marTop w:val="0"/>
              <w:marBottom w:val="0"/>
              <w:divBdr>
                <w:top w:val="none" w:sz="0" w:space="0" w:color="auto"/>
                <w:left w:val="none" w:sz="0" w:space="0" w:color="auto"/>
                <w:bottom w:val="none" w:sz="0" w:space="0" w:color="auto"/>
                <w:right w:val="none" w:sz="0" w:space="0" w:color="auto"/>
              </w:divBdr>
            </w:div>
            <w:div w:id="1497766524">
              <w:marLeft w:val="0"/>
              <w:marRight w:val="0"/>
              <w:marTop w:val="0"/>
              <w:marBottom w:val="0"/>
              <w:divBdr>
                <w:top w:val="none" w:sz="0" w:space="0" w:color="auto"/>
                <w:left w:val="none" w:sz="0" w:space="0" w:color="auto"/>
                <w:bottom w:val="none" w:sz="0" w:space="0" w:color="auto"/>
                <w:right w:val="none" w:sz="0" w:space="0" w:color="auto"/>
              </w:divBdr>
            </w:div>
            <w:div w:id="100759168">
              <w:marLeft w:val="0"/>
              <w:marRight w:val="0"/>
              <w:marTop w:val="0"/>
              <w:marBottom w:val="0"/>
              <w:divBdr>
                <w:top w:val="none" w:sz="0" w:space="0" w:color="auto"/>
                <w:left w:val="none" w:sz="0" w:space="0" w:color="auto"/>
                <w:bottom w:val="none" w:sz="0" w:space="0" w:color="auto"/>
                <w:right w:val="none" w:sz="0" w:space="0" w:color="auto"/>
              </w:divBdr>
            </w:div>
            <w:div w:id="70479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lektronskaposta.si/link.php?M=20373639&amp;N=20351&amp;L=39368&amp;F=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C1F8C-1C74-4C62-8443-DCBD5C58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3325</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Izpostava Velenje</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AJPES</dc:creator>
  <cp:lastModifiedBy>Tanja Žnidarko</cp:lastModifiedBy>
  <cp:revision>3</cp:revision>
  <cp:lastPrinted>2020-03-06T12:15:00Z</cp:lastPrinted>
  <dcterms:created xsi:type="dcterms:W3CDTF">2020-03-10T13:53:00Z</dcterms:created>
  <dcterms:modified xsi:type="dcterms:W3CDTF">2020-03-10T13:58:00Z</dcterms:modified>
</cp:coreProperties>
</file>